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1DC8" w14:textId="1E72759A" w:rsidR="006814E4" w:rsidRDefault="006814E4" w:rsidP="006814E4">
      <w:pPr>
        <w:jc w:val="center"/>
        <w:rPr>
          <w:rFonts w:ascii="Times New Roman" w:hAnsi="Times New Roman" w:cs="Times New Roman"/>
          <w:sz w:val="48"/>
          <w:szCs w:val="48"/>
        </w:rPr>
      </w:pPr>
      <w:r>
        <w:rPr>
          <w:noProof/>
        </w:rPr>
        <w:drawing>
          <wp:inline distT="0" distB="0" distL="0" distR="0" wp14:anchorId="7B0F1F3C" wp14:editId="0E2E2FE2">
            <wp:extent cx="808869" cy="1019175"/>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7719" cy="1030326"/>
                    </a:xfrm>
                    <a:prstGeom prst="rect">
                      <a:avLst/>
                    </a:prstGeom>
                    <a:noFill/>
                    <a:ln>
                      <a:noFill/>
                    </a:ln>
                  </pic:spPr>
                </pic:pic>
              </a:graphicData>
            </a:graphic>
          </wp:inline>
        </w:drawing>
      </w:r>
    </w:p>
    <w:p w14:paraId="7ED677BD" w14:textId="77777777" w:rsidR="006814E4" w:rsidRDefault="006814E4" w:rsidP="006814E4">
      <w:pPr>
        <w:jc w:val="center"/>
        <w:rPr>
          <w:rFonts w:ascii="Times New Roman" w:hAnsi="Times New Roman" w:cs="Times New Roman"/>
          <w:sz w:val="48"/>
          <w:szCs w:val="48"/>
        </w:rPr>
      </w:pPr>
      <w:r>
        <w:rPr>
          <w:rFonts w:ascii="Times New Roman" w:hAnsi="Times New Roman" w:cs="Times New Roman"/>
          <w:sz w:val="48"/>
          <w:szCs w:val="48"/>
        </w:rPr>
        <w:t>Le Cep Baulois</w:t>
      </w:r>
    </w:p>
    <w:p w14:paraId="04BC980F" w14:textId="77777777" w:rsidR="006814E4" w:rsidRDefault="006814E4" w:rsidP="006814E4">
      <w:pPr>
        <w:jc w:val="center"/>
        <w:rPr>
          <w:rFonts w:ascii="Times New Roman" w:hAnsi="Times New Roman" w:cs="Times New Roman"/>
          <w:sz w:val="48"/>
          <w:szCs w:val="48"/>
        </w:rPr>
      </w:pPr>
      <w:r>
        <w:rPr>
          <w:rFonts w:ascii="Times New Roman" w:hAnsi="Times New Roman" w:cs="Times New Roman"/>
          <w:sz w:val="48"/>
          <w:szCs w:val="48"/>
        </w:rPr>
        <w:t>Réunion du 21 juillet 2022</w:t>
      </w:r>
    </w:p>
    <w:p w14:paraId="52221771" w14:textId="77777777" w:rsidR="006814E4" w:rsidRDefault="006814E4" w:rsidP="006814E4">
      <w:pPr>
        <w:jc w:val="center"/>
        <w:rPr>
          <w:rFonts w:ascii="Times New Roman" w:hAnsi="Times New Roman" w:cs="Times New Roman"/>
          <w:sz w:val="48"/>
          <w:szCs w:val="48"/>
        </w:rPr>
      </w:pPr>
      <w:r w:rsidRPr="00D5581C">
        <w:rPr>
          <w:rFonts w:ascii="Times New Roman" w:hAnsi="Times New Roman" w:cs="Times New Roman"/>
          <w:sz w:val="48"/>
          <w:szCs w:val="48"/>
        </w:rPr>
        <w:t>Les rosé du midi</w:t>
      </w:r>
      <w:r>
        <w:rPr>
          <w:rFonts w:ascii="Times New Roman" w:hAnsi="Times New Roman" w:cs="Times New Roman"/>
          <w:sz w:val="48"/>
          <w:szCs w:val="48"/>
        </w:rPr>
        <w:t xml:space="preserve"> et le 5éme élément</w:t>
      </w:r>
    </w:p>
    <w:p w14:paraId="00EA3966" w14:textId="77777777" w:rsidR="006814E4" w:rsidRPr="00740A47" w:rsidRDefault="006814E4" w:rsidP="006814E4">
      <w:pPr>
        <w:jc w:val="center"/>
        <w:rPr>
          <w:rFonts w:ascii="Times New Roman" w:hAnsi="Times New Roman" w:cs="Times New Roman"/>
          <w:sz w:val="24"/>
          <w:szCs w:val="24"/>
        </w:rPr>
      </w:pPr>
    </w:p>
    <w:p w14:paraId="34A8AE62" w14:textId="77777777" w:rsidR="006814E4" w:rsidRDefault="006814E4" w:rsidP="006814E4">
      <w:pPr>
        <w:rPr>
          <w:rFonts w:ascii="Times New Roman" w:hAnsi="Times New Roman" w:cs="Times New Roman"/>
          <w:sz w:val="24"/>
          <w:szCs w:val="24"/>
        </w:rPr>
      </w:pPr>
      <w:r w:rsidRPr="00D5581C">
        <w:rPr>
          <w:rFonts w:ascii="Times New Roman" w:hAnsi="Times New Roman" w:cs="Times New Roman"/>
          <w:sz w:val="24"/>
          <w:szCs w:val="24"/>
        </w:rPr>
        <w:t xml:space="preserve">Les rosés du midi sont issus de cépages </w:t>
      </w:r>
      <w:r>
        <w:rPr>
          <w:rFonts w:ascii="Times New Roman" w:hAnsi="Times New Roman" w:cs="Times New Roman"/>
          <w:sz w:val="24"/>
          <w:szCs w:val="24"/>
        </w:rPr>
        <w:t>spécifiques qui sont en général toujours les mêmes, seuls les pourcentages d’assemblages différent.</w:t>
      </w:r>
    </w:p>
    <w:p w14:paraId="4636C583" w14:textId="77777777" w:rsidR="006814E4" w:rsidRDefault="006814E4" w:rsidP="006814E4">
      <w:pPr>
        <w:rPr>
          <w:rFonts w:ascii="Times New Roman" w:hAnsi="Times New Roman" w:cs="Times New Roman"/>
          <w:sz w:val="24"/>
          <w:szCs w:val="24"/>
        </w:rPr>
      </w:pPr>
      <w:r>
        <w:rPr>
          <w:rFonts w:ascii="Times New Roman" w:hAnsi="Times New Roman" w:cs="Times New Roman"/>
          <w:sz w:val="24"/>
          <w:szCs w:val="24"/>
        </w:rPr>
        <w:t>Ce ne sont en général que des cépages rouges ou noir.</w:t>
      </w:r>
    </w:p>
    <w:p w14:paraId="3E4404C0" w14:textId="77777777" w:rsidR="006814E4" w:rsidRPr="00D5581C" w:rsidRDefault="006814E4" w:rsidP="006814E4">
      <w:pPr>
        <w:rPr>
          <w:rFonts w:ascii="Times New Roman" w:hAnsi="Times New Roman" w:cs="Times New Roman"/>
          <w:sz w:val="24"/>
          <w:szCs w:val="24"/>
        </w:rPr>
      </w:pPr>
    </w:p>
    <w:p w14:paraId="527706ED" w14:textId="77777777" w:rsidR="006814E4" w:rsidRDefault="006814E4" w:rsidP="006814E4">
      <w:pPr>
        <w:rPr>
          <w:rFonts w:ascii="Times New Roman" w:hAnsi="Times New Roman" w:cs="Times New Roman"/>
          <w:sz w:val="24"/>
          <w:szCs w:val="24"/>
        </w:rPr>
      </w:pPr>
      <w:r>
        <w:rPr>
          <w:rFonts w:ascii="Times New Roman" w:hAnsi="Times New Roman" w:cs="Times New Roman"/>
          <w:sz w:val="24"/>
          <w:szCs w:val="24"/>
        </w:rPr>
        <w:t xml:space="preserve">Le Grenache – Si on rencontre souvent le Grenache noir, sachez que l’on peut aussi trouver ce cépage en blanc et en gris. Il peut être utilisé pour les vins rosés et les vins doux naturels. Pour ces boissons-là, on </w:t>
      </w:r>
      <w:proofErr w:type="spellStart"/>
      <w:r>
        <w:rPr>
          <w:rFonts w:ascii="Times New Roman" w:hAnsi="Times New Roman" w:cs="Times New Roman"/>
          <w:sz w:val="24"/>
          <w:szCs w:val="24"/>
        </w:rPr>
        <w:t>resent</w:t>
      </w:r>
      <w:proofErr w:type="spellEnd"/>
      <w:r>
        <w:rPr>
          <w:rFonts w:ascii="Times New Roman" w:hAnsi="Times New Roman" w:cs="Times New Roman"/>
          <w:sz w:val="24"/>
          <w:szCs w:val="24"/>
        </w:rPr>
        <w:t xml:space="preserve"> plus les arômes un peu particuliers, la douceur ainsi que les notes sucrées. </w:t>
      </w:r>
    </w:p>
    <w:p w14:paraId="3B518F62" w14:textId="77777777" w:rsidR="006814E4" w:rsidRPr="00532B34" w:rsidRDefault="006814E4" w:rsidP="006814E4">
      <w:pPr>
        <w:rPr>
          <w:rFonts w:ascii="Times New Roman" w:hAnsi="Times New Roman" w:cs="Times New Roman"/>
          <w:sz w:val="24"/>
          <w:szCs w:val="24"/>
        </w:rPr>
      </w:pPr>
    </w:p>
    <w:p w14:paraId="42F681E9" w14:textId="77777777" w:rsidR="006814E4" w:rsidRPr="00532B34" w:rsidRDefault="006814E4" w:rsidP="006814E4">
      <w:pPr>
        <w:rPr>
          <w:rFonts w:ascii="Times New Roman" w:hAnsi="Times New Roman" w:cs="Times New Roman"/>
          <w:sz w:val="24"/>
          <w:szCs w:val="24"/>
          <w:shd w:val="clear" w:color="auto" w:fill="FFFFFF"/>
        </w:rPr>
      </w:pPr>
      <w:r>
        <w:rPr>
          <w:rFonts w:ascii="Times New Roman" w:hAnsi="Times New Roman" w:cs="Times New Roman"/>
          <w:sz w:val="24"/>
          <w:szCs w:val="24"/>
        </w:rPr>
        <w:t xml:space="preserve">La </w:t>
      </w:r>
      <w:r w:rsidRPr="00532B34">
        <w:rPr>
          <w:rFonts w:ascii="Times New Roman" w:hAnsi="Times New Roman" w:cs="Times New Roman"/>
          <w:sz w:val="24"/>
          <w:szCs w:val="24"/>
        </w:rPr>
        <w:t xml:space="preserve">Syrah – </w:t>
      </w:r>
      <w:r w:rsidRPr="00532B34">
        <w:rPr>
          <w:rFonts w:ascii="Times New Roman" w:hAnsi="Times New Roman" w:cs="Times New Roman"/>
          <w:sz w:val="24"/>
          <w:szCs w:val="24"/>
          <w:shd w:val="clear" w:color="auto" w:fill="FFFFFF"/>
        </w:rPr>
        <w:t>La syrah est une variété de raisins réputée pour sa capacité à produire des vins rouges épicés, corsés puissants, aromatiques et qui vieillissent bien. Elle donne également des vins rosés fins et fruités</w:t>
      </w:r>
      <w:r>
        <w:rPr>
          <w:rFonts w:ascii="Times New Roman" w:hAnsi="Times New Roman" w:cs="Times New Roman"/>
          <w:sz w:val="24"/>
          <w:szCs w:val="24"/>
          <w:shd w:val="clear" w:color="auto" w:fill="FFFFFF"/>
        </w:rPr>
        <w:t xml:space="preserve"> aux arômes de c</w:t>
      </w:r>
      <w:r w:rsidRPr="00532B34">
        <w:rPr>
          <w:rFonts w:ascii="Times New Roman" w:hAnsi="Times New Roman" w:cs="Times New Roman"/>
          <w:sz w:val="24"/>
          <w:szCs w:val="24"/>
          <w:shd w:val="clear" w:color="auto" w:fill="FFFFFF"/>
        </w:rPr>
        <w:t>assis, mûre, groseille, violette, épices, poivre, réglisse, menthol, cuir, sous-bois</w:t>
      </w:r>
    </w:p>
    <w:p w14:paraId="05E2A349" w14:textId="77777777" w:rsidR="006814E4" w:rsidRPr="00532B34" w:rsidRDefault="006814E4" w:rsidP="006814E4">
      <w:pPr>
        <w:rPr>
          <w:rFonts w:ascii="Times New Roman" w:hAnsi="Times New Roman" w:cs="Times New Roman"/>
          <w:sz w:val="24"/>
          <w:szCs w:val="24"/>
        </w:rPr>
      </w:pPr>
    </w:p>
    <w:p w14:paraId="629EE09D" w14:textId="77777777" w:rsidR="006814E4" w:rsidRDefault="006814E4" w:rsidP="006814E4">
      <w:pPr>
        <w:pStyle w:val="NormalWeb"/>
        <w:shd w:val="clear" w:color="auto" w:fill="FFFFFF"/>
        <w:spacing w:before="0" w:beforeAutospacing="0" w:after="0" w:afterAutospacing="0"/>
      </w:pPr>
      <w:r>
        <w:t xml:space="preserve">Le </w:t>
      </w:r>
      <w:r w:rsidRPr="00532B34">
        <w:t>Cinsault – Le cinsault est un vieux cépage noir à jus blanc</w:t>
      </w:r>
      <w:r>
        <w:t xml:space="preserve">. </w:t>
      </w:r>
      <w:r w:rsidRPr="00532B34">
        <w:t>Ses grappes sont grandes, composées de grosses baies à la chair très juteuse. Il est très apprécié en vin rosé comme à Tavel. Les vins sont peu acides, faibles en couleur et en alcool, aux arômes de fruits rouges</w:t>
      </w:r>
      <w:r>
        <w:t xml:space="preserve">, </w:t>
      </w:r>
      <w:r w:rsidRPr="00532B34">
        <w:t>la framboise, fruits secs et fleurs blanches.</w:t>
      </w:r>
    </w:p>
    <w:p w14:paraId="041BD09D" w14:textId="77777777" w:rsidR="006814E4" w:rsidRDefault="006814E4" w:rsidP="006814E4">
      <w:pPr>
        <w:pStyle w:val="NormalWeb"/>
        <w:shd w:val="clear" w:color="auto" w:fill="FFFFFF"/>
        <w:spacing w:before="0" w:beforeAutospacing="0" w:after="0" w:afterAutospacing="0"/>
      </w:pPr>
    </w:p>
    <w:p w14:paraId="3A1EC7E4" w14:textId="77777777" w:rsidR="006814E4" w:rsidRPr="00532B34" w:rsidRDefault="006814E4" w:rsidP="006814E4">
      <w:pPr>
        <w:pStyle w:val="NormalWeb"/>
        <w:shd w:val="clear" w:color="auto" w:fill="FFFFFF"/>
        <w:spacing w:before="0" w:beforeAutospacing="0" w:after="0" w:afterAutospacing="0"/>
        <w:contextualSpacing/>
      </w:pPr>
      <w:r>
        <w:t xml:space="preserve">Le </w:t>
      </w:r>
      <w:proofErr w:type="spellStart"/>
      <w:r>
        <w:t>Mourvedre</w:t>
      </w:r>
      <w:proofErr w:type="spellEnd"/>
      <w:r>
        <w:t xml:space="preserve"> - </w:t>
      </w:r>
      <w:r w:rsidRPr="00866375">
        <w:rPr>
          <w:color w:val="000000"/>
          <w:shd w:val="clear" w:color="auto" w:fill="FFFFFF"/>
        </w:rPr>
        <w:t>Le mourvèdre transmet au vin des arômes d’épices, de fruits noirs assez matures et il faut faire attention en dégustation à l'aveugle à ne pas le confondre avec</w:t>
      </w:r>
      <w:r>
        <w:rPr>
          <w:color w:val="000000"/>
          <w:shd w:val="clear" w:color="auto" w:fill="FFFFFF"/>
        </w:rPr>
        <w:t xml:space="preserve"> c</w:t>
      </w:r>
      <w:r w:rsidRPr="00866375">
        <w:rPr>
          <w:color w:val="000000"/>
          <w:shd w:val="clear" w:color="auto" w:fill="FFFFFF"/>
        </w:rPr>
        <w:t>abernet sauvignon</w:t>
      </w:r>
      <w:r>
        <w:rPr>
          <w:color w:val="000000"/>
          <w:shd w:val="clear" w:color="auto" w:fill="FFFFFF"/>
        </w:rPr>
        <w:t>.</w:t>
      </w:r>
    </w:p>
    <w:p w14:paraId="49E739CA" w14:textId="77777777" w:rsidR="006814E4" w:rsidRPr="00532B34" w:rsidRDefault="006814E4" w:rsidP="006814E4">
      <w:pPr>
        <w:contextualSpacing/>
        <w:rPr>
          <w:rFonts w:ascii="Times New Roman" w:hAnsi="Times New Roman" w:cs="Times New Roman"/>
          <w:sz w:val="24"/>
          <w:szCs w:val="24"/>
        </w:rPr>
      </w:pPr>
    </w:p>
    <w:p w14:paraId="46A0CA8E" w14:textId="77777777" w:rsidR="006814E4" w:rsidRPr="00532B34" w:rsidRDefault="006814E4" w:rsidP="006814E4">
      <w:pPr>
        <w:contextualSpacing/>
        <w:rPr>
          <w:rFonts w:ascii="Times New Roman" w:hAnsi="Times New Roman" w:cs="Times New Roman"/>
          <w:sz w:val="24"/>
          <w:szCs w:val="24"/>
          <w:shd w:val="clear" w:color="auto" w:fill="FFFFFF"/>
        </w:rPr>
      </w:pPr>
      <w:proofErr w:type="spellStart"/>
      <w:r w:rsidRPr="00532B34">
        <w:rPr>
          <w:rFonts w:ascii="Times New Roman" w:hAnsi="Times New Roman" w:cs="Times New Roman"/>
          <w:sz w:val="24"/>
          <w:szCs w:val="24"/>
          <w:shd w:val="clear" w:color="auto" w:fill="FFFFFF"/>
        </w:rPr>
        <w:t>Tibouren</w:t>
      </w:r>
      <w:proofErr w:type="spellEnd"/>
    </w:p>
    <w:p w14:paraId="21879110" w14:textId="77777777" w:rsidR="006814E4" w:rsidRPr="00532B34" w:rsidRDefault="006814E4" w:rsidP="006814E4">
      <w:pPr>
        <w:contextualSpacing/>
        <w:rPr>
          <w:rFonts w:ascii="Times New Roman" w:hAnsi="Times New Roman" w:cs="Times New Roman"/>
          <w:sz w:val="24"/>
          <w:szCs w:val="24"/>
          <w:shd w:val="clear" w:color="auto" w:fill="FFFFFF"/>
        </w:rPr>
      </w:pPr>
      <w:r w:rsidRPr="00532B34">
        <w:rPr>
          <w:rFonts w:ascii="Times New Roman" w:hAnsi="Times New Roman" w:cs="Times New Roman"/>
          <w:sz w:val="24"/>
          <w:szCs w:val="24"/>
          <w:shd w:val="clear" w:color="auto" w:fill="FFFFFF"/>
        </w:rPr>
        <w:t xml:space="preserve">Le </w:t>
      </w:r>
      <w:proofErr w:type="spellStart"/>
      <w:r w:rsidRPr="00532B34">
        <w:rPr>
          <w:rFonts w:ascii="Times New Roman" w:hAnsi="Times New Roman" w:cs="Times New Roman"/>
          <w:sz w:val="24"/>
          <w:szCs w:val="24"/>
          <w:shd w:val="clear" w:color="auto" w:fill="FFFFFF"/>
        </w:rPr>
        <w:t>Tibouren</w:t>
      </w:r>
      <w:proofErr w:type="spellEnd"/>
      <w:r w:rsidRPr="00532B34">
        <w:rPr>
          <w:rFonts w:ascii="Times New Roman" w:hAnsi="Times New Roman" w:cs="Times New Roman"/>
          <w:sz w:val="24"/>
          <w:szCs w:val="24"/>
          <w:shd w:val="clear" w:color="auto" w:fill="FFFFFF"/>
        </w:rPr>
        <w:t xml:space="preserve"> est un cépage du bassin méditerranéen qui remonterait à la plus haute Antiquité. </w:t>
      </w:r>
    </w:p>
    <w:p w14:paraId="68D4E6BB" w14:textId="77777777" w:rsidR="006814E4" w:rsidRDefault="006814E4" w:rsidP="006814E4">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Il</w:t>
      </w:r>
      <w:r w:rsidRPr="00532B34">
        <w:rPr>
          <w:rFonts w:ascii="Times New Roman" w:hAnsi="Times New Roman" w:cs="Times New Roman"/>
          <w:sz w:val="24"/>
          <w:szCs w:val="24"/>
          <w:shd w:val="clear" w:color="auto" w:fill="FFFFFF"/>
        </w:rPr>
        <w:t xml:space="preserve"> prédomine dans l’élaboration des rosés. </w:t>
      </w:r>
      <w:r>
        <w:rPr>
          <w:rFonts w:ascii="Times New Roman" w:hAnsi="Times New Roman" w:cs="Times New Roman"/>
          <w:sz w:val="24"/>
          <w:szCs w:val="24"/>
          <w:shd w:val="clear" w:color="auto" w:fill="FFFFFF"/>
        </w:rPr>
        <w:t>Il donne</w:t>
      </w:r>
      <w:r w:rsidRPr="00532B34">
        <w:rPr>
          <w:rFonts w:ascii="Times New Roman" w:hAnsi="Times New Roman" w:cs="Times New Roman"/>
          <w:sz w:val="24"/>
          <w:szCs w:val="24"/>
          <w:shd w:val="clear" w:color="auto" w:fill="FFFFFF"/>
        </w:rPr>
        <w:t xml:space="preserve"> un </w:t>
      </w:r>
      <w:r w:rsidRPr="00532B34">
        <w:rPr>
          <w:rStyle w:val="lev"/>
          <w:rFonts w:ascii="Times New Roman" w:hAnsi="Times New Roman" w:cs="Times New Roman"/>
          <w:sz w:val="24"/>
          <w:szCs w:val="24"/>
          <w:shd w:val="clear" w:color="auto" w:fill="FFFFFF"/>
        </w:rPr>
        <w:t>vin bouqueté</w:t>
      </w:r>
      <w:r w:rsidRPr="00532B34">
        <w:rPr>
          <w:rFonts w:ascii="Times New Roman" w:hAnsi="Times New Roman" w:cs="Times New Roman"/>
          <w:sz w:val="24"/>
          <w:szCs w:val="24"/>
          <w:shd w:val="clear" w:color="auto" w:fill="FFFFFF"/>
        </w:rPr>
        <w:t>, capiteux et fortement alcoolisé. Il intègre l'encépagement des appellations </w:t>
      </w:r>
      <w:hyperlink r:id="rId7" w:tooltip="Toutes les infos sur l'appellation Côtes-de-Provence : localisation, caractéristiques, producteurs et vins" w:history="1">
        <w:r w:rsidRPr="00532B34">
          <w:rPr>
            <w:rStyle w:val="Lienhypertexte"/>
            <w:rFonts w:ascii="Times New Roman" w:hAnsi="Times New Roman" w:cs="Times New Roman"/>
            <w:color w:val="auto"/>
            <w:sz w:val="24"/>
            <w:szCs w:val="24"/>
            <w:u w:val="none"/>
            <w:shd w:val="clear" w:color="auto" w:fill="FFFFFF"/>
          </w:rPr>
          <w:t>Côtes de Provence</w:t>
        </w:r>
      </w:hyperlink>
      <w:r w:rsidRPr="00532B34">
        <w:rPr>
          <w:rFonts w:ascii="Times New Roman" w:hAnsi="Times New Roman" w:cs="Times New Roman"/>
          <w:sz w:val="24"/>
          <w:szCs w:val="24"/>
          <w:shd w:val="clear" w:color="auto" w:fill="FFFFFF"/>
        </w:rPr>
        <w:t>, </w:t>
      </w:r>
      <w:hyperlink r:id="rId8" w:tooltip="Toutes les infos sur l'appellation Palette : localisation, caractéristiques, producteurs et vins" w:history="1">
        <w:r w:rsidRPr="00532B34">
          <w:rPr>
            <w:rStyle w:val="Lienhypertexte"/>
            <w:rFonts w:ascii="Times New Roman" w:hAnsi="Times New Roman" w:cs="Times New Roman"/>
            <w:color w:val="auto"/>
            <w:sz w:val="24"/>
            <w:szCs w:val="24"/>
            <w:u w:val="none"/>
            <w:shd w:val="clear" w:color="auto" w:fill="FFFFFF"/>
          </w:rPr>
          <w:t>Palette</w:t>
        </w:r>
      </w:hyperlink>
      <w:r w:rsidRPr="00532B34">
        <w:rPr>
          <w:rFonts w:ascii="Times New Roman" w:hAnsi="Times New Roman" w:cs="Times New Roman"/>
          <w:sz w:val="24"/>
          <w:szCs w:val="24"/>
          <w:shd w:val="clear" w:color="auto" w:fill="FFFFFF"/>
        </w:rPr>
        <w:t>, </w:t>
      </w:r>
      <w:hyperlink r:id="rId9" w:tooltip="Toutes les infos sur l'appellation Coteaux-Varois : localisation, caractéristiques, producteurs et vins" w:history="1">
        <w:r w:rsidRPr="00532B34">
          <w:rPr>
            <w:rStyle w:val="Lienhypertexte"/>
            <w:rFonts w:ascii="Times New Roman" w:hAnsi="Times New Roman" w:cs="Times New Roman"/>
            <w:color w:val="auto"/>
            <w:sz w:val="24"/>
            <w:szCs w:val="24"/>
            <w:u w:val="none"/>
            <w:shd w:val="clear" w:color="auto" w:fill="FFFFFF"/>
          </w:rPr>
          <w:t>Coteaux Varois en Provence</w:t>
        </w:r>
      </w:hyperlink>
      <w:r w:rsidRPr="00532B34">
        <w:rPr>
          <w:rFonts w:ascii="Times New Roman" w:hAnsi="Times New Roman" w:cs="Times New Roman"/>
          <w:sz w:val="24"/>
          <w:szCs w:val="24"/>
          <w:shd w:val="clear" w:color="auto" w:fill="FFFFFF"/>
        </w:rPr>
        <w:t>.</w:t>
      </w:r>
    </w:p>
    <w:p w14:paraId="4AA47E8E" w14:textId="77777777" w:rsidR="006814E4" w:rsidRDefault="006814E4" w:rsidP="006814E4">
      <w:pPr>
        <w:rPr>
          <w:rFonts w:ascii="Times New Roman" w:hAnsi="Times New Roman" w:cs="Times New Roman"/>
          <w:sz w:val="24"/>
          <w:szCs w:val="24"/>
          <w:shd w:val="clear" w:color="auto" w:fill="FFFFFF"/>
        </w:rPr>
      </w:pPr>
    </w:p>
    <w:p w14:paraId="2397F9A2" w14:textId="77777777" w:rsidR="006814E4" w:rsidRPr="001330A6" w:rsidRDefault="006814E4" w:rsidP="006814E4">
      <w:pPr>
        <w:pStyle w:val="NormalWeb"/>
        <w:shd w:val="clear" w:color="auto" w:fill="FEFEFE"/>
        <w:spacing w:before="0" w:beforeAutospacing="0" w:after="0" w:afterAutospacing="0"/>
        <w:jc w:val="both"/>
        <w:rPr>
          <w:sz w:val="48"/>
          <w:szCs w:val="48"/>
          <w:shd w:val="clear" w:color="auto" w:fill="FFFFFF"/>
        </w:rPr>
      </w:pPr>
      <w:r>
        <w:rPr>
          <w:sz w:val="48"/>
          <w:szCs w:val="48"/>
          <w:shd w:val="clear" w:color="auto" w:fill="FFFFFF"/>
        </w:rPr>
        <w:t xml:space="preserve">1 - </w:t>
      </w:r>
      <w:r w:rsidRPr="001330A6">
        <w:rPr>
          <w:sz w:val="48"/>
          <w:szCs w:val="48"/>
          <w:shd w:val="clear" w:color="auto" w:fill="FFFFFF"/>
        </w:rPr>
        <w:t>Côte de Provence</w:t>
      </w:r>
      <w:r>
        <w:rPr>
          <w:sz w:val="48"/>
          <w:szCs w:val="48"/>
          <w:shd w:val="clear" w:color="auto" w:fill="FFFFFF"/>
        </w:rPr>
        <w:t xml:space="preserve"> – Sainte Victoire – 13°</w:t>
      </w:r>
    </w:p>
    <w:p w14:paraId="185092D9" w14:textId="77777777" w:rsidR="006814E4" w:rsidRPr="001330A6" w:rsidRDefault="006814E4" w:rsidP="006814E4">
      <w:pPr>
        <w:pStyle w:val="NormalWeb"/>
        <w:shd w:val="clear" w:color="auto" w:fill="FEFEFE"/>
        <w:spacing w:before="0" w:beforeAutospacing="0" w:after="0" w:afterAutospacing="0"/>
        <w:jc w:val="both"/>
        <w:rPr>
          <w:shd w:val="clear" w:color="auto" w:fill="FFFFFF"/>
        </w:rPr>
      </w:pPr>
    </w:p>
    <w:p w14:paraId="661E3DE3" w14:textId="77777777" w:rsidR="006814E4" w:rsidRPr="001330A6" w:rsidRDefault="006814E4" w:rsidP="006814E4">
      <w:pPr>
        <w:pStyle w:val="NormalWeb"/>
        <w:shd w:val="clear" w:color="auto" w:fill="FEFEFE"/>
        <w:spacing w:before="0" w:beforeAutospacing="0" w:after="0" w:afterAutospacing="0"/>
        <w:jc w:val="both"/>
        <w:rPr>
          <w:shd w:val="clear" w:color="auto" w:fill="FFFFFF"/>
        </w:rPr>
      </w:pPr>
      <w:r w:rsidRPr="001330A6">
        <w:rPr>
          <w:shd w:val="clear" w:color="auto" w:fill="FFFFFF"/>
        </w:rPr>
        <w:t>C’est 20.200 Ha qui donnent 868.000 Hl</w:t>
      </w:r>
    </w:p>
    <w:p w14:paraId="31390A01" w14:textId="77777777" w:rsidR="006814E4" w:rsidRPr="001330A6" w:rsidRDefault="006814E4" w:rsidP="006814E4">
      <w:pPr>
        <w:pStyle w:val="NormalWeb"/>
        <w:shd w:val="clear" w:color="auto" w:fill="FEFEFE"/>
        <w:spacing w:before="0" w:beforeAutospacing="0" w:after="0" w:afterAutospacing="0"/>
        <w:jc w:val="both"/>
        <w:rPr>
          <w:shd w:val="clear" w:color="auto" w:fill="FFFFFF"/>
        </w:rPr>
      </w:pPr>
    </w:p>
    <w:p w14:paraId="74418859" w14:textId="77777777" w:rsidR="006814E4" w:rsidRPr="001330A6" w:rsidRDefault="006814E4" w:rsidP="006814E4">
      <w:pPr>
        <w:pStyle w:val="NormalWeb"/>
        <w:shd w:val="clear" w:color="auto" w:fill="FEFEFE"/>
        <w:spacing w:before="0" w:beforeAutospacing="0" w:after="0" w:afterAutospacing="0"/>
        <w:jc w:val="both"/>
        <w:rPr>
          <w:shd w:val="clear" w:color="auto" w:fill="FFFFFF"/>
        </w:rPr>
      </w:pPr>
      <w:r w:rsidRPr="001330A6">
        <w:rPr>
          <w:shd w:val="clear" w:color="auto" w:fill="FFFFFF"/>
        </w:rPr>
        <w:t>Deux grands ensembles géologiques coexistent dans les Côtes de Provence : l’un calcaire, au nord et à l’ouest et l’autre cristallin au sud et à l’est. Toute la zone ouest et nord des Côtes de Provence est constituée d’une alternance de collines et de barres calcaires sculptées par l’érosion. Plus à l’est, face à la mer, affleurent les massifs cristallins des Maures et de l’Estérel. Cet ensemble cristallin est formé partiellement de roches d’origine éruptive.</w:t>
      </w:r>
    </w:p>
    <w:p w14:paraId="1118C32F" w14:textId="77777777" w:rsidR="006814E4" w:rsidRPr="001330A6" w:rsidRDefault="006814E4" w:rsidP="006814E4">
      <w:pPr>
        <w:pStyle w:val="NormalWeb"/>
        <w:shd w:val="clear" w:color="auto" w:fill="FEFEFE"/>
        <w:spacing w:before="0" w:beforeAutospacing="0" w:after="0" w:afterAutospacing="0"/>
        <w:jc w:val="both"/>
        <w:rPr>
          <w:shd w:val="clear" w:color="auto" w:fill="FFFFFF"/>
        </w:rPr>
      </w:pPr>
    </w:p>
    <w:p w14:paraId="7E04977F" w14:textId="77777777" w:rsidR="006814E4" w:rsidRPr="001330A6" w:rsidRDefault="006814E4" w:rsidP="006814E4">
      <w:pPr>
        <w:pStyle w:val="NormalWeb"/>
        <w:shd w:val="clear" w:color="auto" w:fill="FEFEFE"/>
        <w:spacing w:before="0" w:beforeAutospacing="0" w:after="0" w:afterAutospacing="0"/>
        <w:jc w:val="both"/>
        <w:rPr>
          <w:shd w:val="clear" w:color="auto" w:fill="FFFFFF"/>
        </w:rPr>
      </w:pPr>
      <w:r w:rsidRPr="001330A6">
        <w:rPr>
          <w:shd w:val="clear" w:color="auto" w:fill="FFFFFF"/>
        </w:rPr>
        <w:t>Huit bassins de production composent l’appellation : la Bordure Maritime, Notre-Dame des Anges, le Haut Pays, le Bassin du Beausset, la montagne Sainte-Victoire, Fréjus, La Londe et Pierrefeu.</w:t>
      </w:r>
    </w:p>
    <w:p w14:paraId="1134D089" w14:textId="77777777" w:rsidR="006814E4" w:rsidRPr="001330A6" w:rsidRDefault="006814E4" w:rsidP="006814E4">
      <w:pPr>
        <w:pStyle w:val="NormalWeb"/>
        <w:shd w:val="clear" w:color="auto" w:fill="FEFEFE"/>
        <w:spacing w:before="0" w:beforeAutospacing="0" w:after="0" w:afterAutospacing="0"/>
        <w:jc w:val="both"/>
        <w:rPr>
          <w:shd w:val="clear" w:color="auto" w:fill="FFFFFF"/>
        </w:rPr>
      </w:pPr>
    </w:p>
    <w:p w14:paraId="3230D2BD" w14:textId="77777777" w:rsidR="006814E4" w:rsidRDefault="006814E4" w:rsidP="006814E4">
      <w:pPr>
        <w:pStyle w:val="NormalWeb"/>
        <w:shd w:val="clear" w:color="auto" w:fill="FEFEFE"/>
        <w:spacing w:before="0" w:beforeAutospacing="0" w:after="0" w:afterAutospacing="0"/>
        <w:jc w:val="both"/>
        <w:rPr>
          <w:shd w:val="clear" w:color="auto" w:fill="FFFFFF"/>
        </w:rPr>
      </w:pPr>
      <w:r w:rsidRPr="001330A6">
        <w:rPr>
          <w:shd w:val="clear" w:color="auto" w:fill="FFFFFF"/>
        </w:rPr>
        <w:t xml:space="preserve">Actuellement, cinq “dénominations géographiques complémentaires” y sont reconnues, dont chacune produit des vins à la typicité marquée : </w:t>
      </w:r>
      <w:r w:rsidRPr="007226C1">
        <w:rPr>
          <w:b/>
          <w:bCs/>
          <w:shd w:val="clear" w:color="auto" w:fill="FFFFFF"/>
        </w:rPr>
        <w:t>Côtes de Provence Sainte-Victoire</w:t>
      </w:r>
      <w:r w:rsidRPr="001330A6">
        <w:rPr>
          <w:shd w:val="clear" w:color="auto" w:fill="FFFFFF"/>
        </w:rPr>
        <w:t>, Côtes de Provence Fréjus, Côtes de Provence La Londe, Côtes de Provence Pierrefeu et Côtes de Provence Notre-Dame des Anges (depuis 2019).</w:t>
      </w:r>
    </w:p>
    <w:p w14:paraId="161174A1" w14:textId="77777777" w:rsidR="006814E4" w:rsidRPr="00B001A8" w:rsidRDefault="006814E4" w:rsidP="006814E4">
      <w:pPr>
        <w:pStyle w:val="NormalWeb"/>
        <w:shd w:val="clear" w:color="auto" w:fill="FEFEFE"/>
        <w:spacing w:before="0" w:beforeAutospacing="0" w:after="0" w:afterAutospacing="0"/>
        <w:jc w:val="both"/>
      </w:pPr>
    </w:p>
    <w:p w14:paraId="36B40168" w14:textId="77777777" w:rsidR="006814E4" w:rsidRPr="001330A6" w:rsidRDefault="006814E4" w:rsidP="006814E4">
      <w:pPr>
        <w:pStyle w:val="NormalWeb"/>
        <w:shd w:val="clear" w:color="auto" w:fill="FEFEFE"/>
        <w:spacing w:before="0" w:beforeAutospacing="0" w:after="0" w:afterAutospacing="0"/>
        <w:jc w:val="both"/>
        <w:rPr>
          <w:sz w:val="48"/>
          <w:szCs w:val="48"/>
        </w:rPr>
      </w:pPr>
      <w:r>
        <w:rPr>
          <w:sz w:val="48"/>
          <w:szCs w:val="48"/>
        </w:rPr>
        <w:lastRenderedPageBreak/>
        <w:t xml:space="preserve">2 - </w:t>
      </w:r>
      <w:r w:rsidRPr="001330A6">
        <w:rPr>
          <w:sz w:val="48"/>
          <w:szCs w:val="48"/>
        </w:rPr>
        <w:t xml:space="preserve">Bandol </w:t>
      </w:r>
      <w:r>
        <w:rPr>
          <w:sz w:val="48"/>
          <w:szCs w:val="48"/>
        </w:rPr>
        <w:t>–</w:t>
      </w:r>
      <w:r w:rsidRPr="001330A6">
        <w:rPr>
          <w:sz w:val="48"/>
          <w:szCs w:val="48"/>
        </w:rPr>
        <w:t xml:space="preserve"> 2020</w:t>
      </w:r>
      <w:r>
        <w:rPr>
          <w:sz w:val="48"/>
          <w:szCs w:val="48"/>
        </w:rPr>
        <w:t xml:space="preserve"> – 13°</w:t>
      </w:r>
    </w:p>
    <w:p w14:paraId="32A6C01C" w14:textId="77777777" w:rsidR="006814E4" w:rsidRDefault="006814E4" w:rsidP="006814E4">
      <w:pPr>
        <w:pStyle w:val="NormalWeb"/>
        <w:shd w:val="clear" w:color="auto" w:fill="FEFEFE"/>
        <w:spacing w:before="0" w:beforeAutospacing="0" w:after="0" w:afterAutospacing="0"/>
        <w:jc w:val="both"/>
      </w:pPr>
    </w:p>
    <w:p w14:paraId="4224B708" w14:textId="77777777" w:rsidR="006814E4" w:rsidRPr="001330A6" w:rsidRDefault="006814E4" w:rsidP="006814E4">
      <w:pPr>
        <w:pStyle w:val="NormalWeb"/>
        <w:shd w:val="clear" w:color="auto" w:fill="FEFEFE"/>
        <w:spacing w:before="0" w:beforeAutospacing="0" w:after="0" w:afterAutospacing="0"/>
        <w:jc w:val="both"/>
      </w:pPr>
      <w:r>
        <w:t xml:space="preserve">Le Bandol existe en </w:t>
      </w:r>
      <w:r w:rsidRPr="001330A6">
        <w:t>Blanc, Rosé et Rouge</w:t>
      </w:r>
    </w:p>
    <w:p w14:paraId="158E84FA" w14:textId="77777777" w:rsidR="006814E4" w:rsidRPr="007226C1" w:rsidRDefault="006814E4" w:rsidP="006814E4">
      <w:pPr>
        <w:pStyle w:val="NormalWeb"/>
        <w:shd w:val="clear" w:color="auto" w:fill="FEFEFE"/>
        <w:spacing w:before="0" w:beforeAutospacing="0" w:after="0" w:afterAutospacing="0"/>
        <w:jc w:val="both"/>
        <w:rPr>
          <w:shd w:val="clear" w:color="auto" w:fill="FFFFFF"/>
        </w:rPr>
      </w:pPr>
      <w:r w:rsidRPr="001330A6">
        <w:rPr>
          <w:shd w:val="clear" w:color="auto" w:fill="FFFFFF"/>
        </w:rPr>
        <w:t xml:space="preserve">Les vignes de cette appellation sont accrochées en terrasses appelées "restanques" dans un amphithéâtre naturel sur les collines </w:t>
      </w:r>
      <w:r w:rsidRPr="007226C1">
        <w:rPr>
          <w:shd w:val="clear" w:color="auto" w:fill="FFFFFF"/>
        </w:rPr>
        <w:t>du </w:t>
      </w:r>
      <w:hyperlink r:id="rId10" w:history="1">
        <w:r w:rsidRPr="007226C1">
          <w:rPr>
            <w:rStyle w:val="Lienhypertexte"/>
            <w:color w:val="auto"/>
            <w:u w:val="none"/>
            <w:bdr w:val="none" w:sz="0" w:space="0" w:color="auto" w:frame="1"/>
            <w:shd w:val="clear" w:color="auto" w:fill="FFFFFF"/>
          </w:rPr>
          <w:t>Var</w:t>
        </w:r>
      </w:hyperlink>
      <w:r w:rsidRPr="007226C1">
        <w:rPr>
          <w:shd w:val="clear" w:color="auto" w:fill="FFFFFF"/>
        </w:rPr>
        <w:t> et en bord de mer sur environ 1.600 ha.</w:t>
      </w:r>
    </w:p>
    <w:p w14:paraId="179020D9" w14:textId="77777777" w:rsidR="006814E4" w:rsidRPr="001330A6" w:rsidRDefault="006814E4" w:rsidP="006814E4">
      <w:pPr>
        <w:pStyle w:val="NormalWeb"/>
        <w:shd w:val="clear" w:color="auto" w:fill="FEFEFE"/>
        <w:spacing w:before="0" w:beforeAutospacing="0" w:after="0" w:afterAutospacing="0"/>
        <w:jc w:val="both"/>
        <w:rPr>
          <w:shd w:val="clear" w:color="auto" w:fill="FFFFFF"/>
        </w:rPr>
      </w:pPr>
      <w:r w:rsidRPr="007226C1">
        <w:rPr>
          <w:shd w:val="clear" w:color="auto" w:fill="FFFFFF"/>
        </w:rPr>
        <w:t>Elles donnent des </w:t>
      </w:r>
      <w:hyperlink r:id="rId11" w:history="1">
        <w:r w:rsidRPr="007226C1">
          <w:rPr>
            <w:rStyle w:val="Lienhypertexte"/>
            <w:color w:val="auto"/>
            <w:u w:val="none"/>
            <w:bdr w:val="none" w:sz="0" w:space="0" w:color="auto" w:frame="1"/>
            <w:shd w:val="clear" w:color="auto" w:fill="FFFFFF"/>
          </w:rPr>
          <w:t>vins rouges</w:t>
        </w:r>
      </w:hyperlink>
      <w:r w:rsidRPr="007226C1">
        <w:rPr>
          <w:shd w:val="clear" w:color="auto" w:fill="FFFFFF"/>
        </w:rPr>
        <w:t>, des </w:t>
      </w:r>
      <w:hyperlink r:id="rId12" w:history="1">
        <w:r w:rsidRPr="007226C1">
          <w:rPr>
            <w:rStyle w:val="Lienhypertexte"/>
            <w:color w:val="auto"/>
            <w:u w:val="none"/>
            <w:bdr w:val="none" w:sz="0" w:space="0" w:color="auto" w:frame="1"/>
            <w:shd w:val="clear" w:color="auto" w:fill="FFFFFF"/>
          </w:rPr>
          <w:t>vins rosés</w:t>
        </w:r>
      </w:hyperlink>
      <w:r w:rsidRPr="007226C1">
        <w:rPr>
          <w:shd w:val="clear" w:color="auto" w:fill="FFFFFF"/>
        </w:rPr>
        <w:t> et des </w:t>
      </w:r>
      <w:hyperlink r:id="rId13" w:history="1">
        <w:r w:rsidRPr="007226C1">
          <w:rPr>
            <w:rStyle w:val="Lienhypertexte"/>
            <w:color w:val="auto"/>
            <w:u w:val="none"/>
            <w:bdr w:val="none" w:sz="0" w:space="0" w:color="auto" w:frame="1"/>
            <w:shd w:val="clear" w:color="auto" w:fill="FFFFFF"/>
          </w:rPr>
          <w:t>vins blancs</w:t>
        </w:r>
      </w:hyperlink>
      <w:r w:rsidRPr="007226C1">
        <w:rPr>
          <w:shd w:val="clear" w:color="auto" w:fill="FFFFFF"/>
        </w:rPr>
        <w:t>. Le voisinage de la mer tempère les ardeurs du soleil, ce qui équilibre ces </w:t>
      </w:r>
      <w:hyperlink r:id="rId14" w:history="1">
        <w:r w:rsidRPr="007226C1">
          <w:rPr>
            <w:rStyle w:val="Lienhypertexte"/>
            <w:color w:val="auto"/>
            <w:u w:val="none"/>
            <w:bdr w:val="none" w:sz="0" w:space="0" w:color="auto" w:frame="1"/>
            <w:shd w:val="clear" w:color="auto" w:fill="FFFFFF"/>
          </w:rPr>
          <w:t>vins</w:t>
        </w:r>
      </w:hyperlink>
      <w:r w:rsidRPr="007226C1">
        <w:rPr>
          <w:shd w:val="clear" w:color="auto" w:fill="FFFFFF"/>
        </w:rPr>
        <w:t> à merveille en</w:t>
      </w:r>
      <w:r w:rsidRPr="001330A6">
        <w:rPr>
          <w:shd w:val="clear" w:color="auto" w:fill="FFFFFF"/>
        </w:rPr>
        <w:t xml:space="preserve"> les rendant à la fois intenses, complexes et subtils. </w:t>
      </w:r>
      <w:r>
        <w:rPr>
          <w:shd w:val="clear" w:color="auto" w:fill="FFFFFF"/>
        </w:rPr>
        <w:t xml:space="preserve">Ce sont de </w:t>
      </w:r>
      <w:r w:rsidRPr="001330A6">
        <w:rPr>
          <w:shd w:val="clear" w:color="auto" w:fill="FFFFFF"/>
        </w:rPr>
        <w:t xml:space="preserve">grands vins ! </w:t>
      </w:r>
    </w:p>
    <w:p w14:paraId="0F48D6E3" w14:textId="77777777" w:rsidR="006814E4" w:rsidRPr="001330A6" w:rsidRDefault="006814E4" w:rsidP="006814E4">
      <w:pPr>
        <w:pStyle w:val="NormalWeb"/>
        <w:shd w:val="clear" w:color="auto" w:fill="FEFEFE"/>
        <w:spacing w:before="0" w:beforeAutospacing="0" w:after="0" w:afterAutospacing="0"/>
        <w:jc w:val="both"/>
        <w:rPr>
          <w:shd w:val="clear" w:color="auto" w:fill="FFFFFF"/>
        </w:rPr>
      </w:pPr>
    </w:p>
    <w:p w14:paraId="786882D3" w14:textId="77777777" w:rsidR="006814E4" w:rsidRDefault="006814E4" w:rsidP="006814E4">
      <w:pPr>
        <w:pStyle w:val="NormalWeb"/>
        <w:shd w:val="clear" w:color="auto" w:fill="FEFEFE"/>
        <w:spacing w:before="0" w:beforeAutospacing="0" w:after="0" w:afterAutospacing="0"/>
        <w:jc w:val="both"/>
        <w:rPr>
          <w:shd w:val="clear" w:color="auto" w:fill="FFFFFF"/>
        </w:rPr>
      </w:pPr>
      <w:r>
        <w:rPr>
          <w:shd w:val="clear" w:color="auto" w:fill="FFFFFF"/>
        </w:rPr>
        <w:t xml:space="preserve">En </w:t>
      </w:r>
      <w:r w:rsidRPr="001330A6">
        <w:rPr>
          <w:shd w:val="clear" w:color="auto" w:fill="FFFFFF"/>
        </w:rPr>
        <w:t>Rosés</w:t>
      </w:r>
      <w:r>
        <w:rPr>
          <w:shd w:val="clear" w:color="auto" w:fill="FFFFFF"/>
        </w:rPr>
        <w:t xml:space="preserve"> il peut y avoir : </w:t>
      </w:r>
      <w:r w:rsidRPr="001330A6">
        <w:rPr>
          <w:shd w:val="clear" w:color="auto" w:fill="FFFFFF"/>
        </w:rPr>
        <w:t>Mourvèdre 25% à 60%</w:t>
      </w:r>
      <w:r>
        <w:rPr>
          <w:shd w:val="clear" w:color="auto" w:fill="FFFFFF"/>
        </w:rPr>
        <w:t xml:space="preserve"> - </w:t>
      </w:r>
      <w:r w:rsidRPr="001330A6">
        <w:rPr>
          <w:shd w:val="clear" w:color="auto" w:fill="FFFFFF"/>
        </w:rPr>
        <w:t>Grenache 20 à 30 %</w:t>
      </w:r>
      <w:r>
        <w:rPr>
          <w:shd w:val="clear" w:color="auto" w:fill="FFFFFF"/>
        </w:rPr>
        <w:t xml:space="preserve"> - </w:t>
      </w:r>
      <w:r w:rsidRPr="001330A6">
        <w:rPr>
          <w:shd w:val="clear" w:color="auto" w:fill="FFFFFF"/>
        </w:rPr>
        <w:t>Cinsault 60 à 45 %</w:t>
      </w:r>
    </w:p>
    <w:p w14:paraId="5C6FD9FA" w14:textId="77777777" w:rsidR="006814E4" w:rsidRDefault="006814E4" w:rsidP="006814E4">
      <w:pPr>
        <w:pStyle w:val="NormalWeb"/>
        <w:shd w:val="clear" w:color="auto" w:fill="FEFEFE"/>
        <w:spacing w:before="0" w:beforeAutospacing="0" w:after="0" w:afterAutospacing="0"/>
        <w:jc w:val="both"/>
        <w:rPr>
          <w:shd w:val="clear" w:color="auto" w:fill="FFFFFF"/>
        </w:rPr>
      </w:pPr>
    </w:p>
    <w:p w14:paraId="4A0A3971" w14:textId="77777777" w:rsidR="006814E4" w:rsidRDefault="006814E4" w:rsidP="006814E4">
      <w:pPr>
        <w:shd w:val="clear" w:color="auto" w:fill="FFFFFF"/>
        <w:rPr>
          <w:rFonts w:ascii="Times New Roman" w:eastAsia="Times New Roman" w:hAnsi="Times New Roman" w:cs="Times New Roman"/>
          <w:spacing w:val="10"/>
          <w:sz w:val="48"/>
          <w:szCs w:val="48"/>
          <w:lang w:eastAsia="fr-FR"/>
        </w:rPr>
      </w:pPr>
      <w:r>
        <w:rPr>
          <w:rFonts w:ascii="Times New Roman" w:eastAsia="Times New Roman" w:hAnsi="Times New Roman" w:cs="Times New Roman"/>
          <w:spacing w:val="10"/>
          <w:sz w:val="48"/>
          <w:szCs w:val="48"/>
          <w:lang w:eastAsia="fr-FR"/>
        </w:rPr>
        <w:t xml:space="preserve">3 - </w:t>
      </w:r>
      <w:r w:rsidRPr="00532B34">
        <w:rPr>
          <w:rFonts w:ascii="Times New Roman" w:eastAsia="Times New Roman" w:hAnsi="Times New Roman" w:cs="Times New Roman"/>
          <w:spacing w:val="10"/>
          <w:sz w:val="48"/>
          <w:szCs w:val="48"/>
          <w:lang w:eastAsia="fr-FR"/>
        </w:rPr>
        <w:t>T</w:t>
      </w:r>
      <w:r>
        <w:rPr>
          <w:rFonts w:ascii="Times New Roman" w:eastAsia="Times New Roman" w:hAnsi="Times New Roman" w:cs="Times New Roman"/>
          <w:spacing w:val="10"/>
          <w:sz w:val="48"/>
          <w:szCs w:val="48"/>
          <w:lang w:eastAsia="fr-FR"/>
        </w:rPr>
        <w:t>avel</w:t>
      </w:r>
      <w:r w:rsidRPr="00532B34">
        <w:rPr>
          <w:rFonts w:ascii="Times New Roman" w:eastAsia="Times New Roman" w:hAnsi="Times New Roman" w:cs="Times New Roman"/>
          <w:spacing w:val="10"/>
          <w:sz w:val="48"/>
          <w:szCs w:val="48"/>
          <w:lang w:eastAsia="fr-FR"/>
        </w:rPr>
        <w:t xml:space="preserve"> </w:t>
      </w:r>
      <w:r>
        <w:rPr>
          <w:rFonts w:ascii="Times New Roman" w:eastAsia="Times New Roman" w:hAnsi="Times New Roman" w:cs="Times New Roman"/>
          <w:spacing w:val="10"/>
          <w:sz w:val="48"/>
          <w:szCs w:val="48"/>
          <w:lang w:eastAsia="fr-FR"/>
        </w:rPr>
        <w:t xml:space="preserve">– </w:t>
      </w:r>
      <w:r w:rsidRPr="00532B34">
        <w:rPr>
          <w:rFonts w:ascii="Times New Roman" w:eastAsia="Times New Roman" w:hAnsi="Times New Roman" w:cs="Times New Roman"/>
          <w:spacing w:val="10"/>
          <w:sz w:val="48"/>
          <w:szCs w:val="48"/>
          <w:lang w:eastAsia="fr-FR"/>
        </w:rPr>
        <w:t>2020</w:t>
      </w:r>
      <w:r>
        <w:rPr>
          <w:rFonts w:ascii="Times New Roman" w:eastAsia="Times New Roman" w:hAnsi="Times New Roman" w:cs="Times New Roman"/>
          <w:spacing w:val="10"/>
          <w:sz w:val="48"/>
          <w:szCs w:val="48"/>
          <w:lang w:eastAsia="fr-FR"/>
        </w:rPr>
        <w:t xml:space="preserve"> – 13,5°</w:t>
      </w:r>
    </w:p>
    <w:p w14:paraId="054A73EE" w14:textId="77777777" w:rsidR="006814E4" w:rsidRPr="00740A47" w:rsidRDefault="006814E4" w:rsidP="006814E4">
      <w:pPr>
        <w:shd w:val="clear" w:color="auto" w:fill="FFFFFF"/>
        <w:rPr>
          <w:rFonts w:ascii="Times New Roman" w:eastAsia="Times New Roman" w:hAnsi="Times New Roman" w:cs="Times New Roman"/>
          <w:spacing w:val="10"/>
          <w:sz w:val="24"/>
          <w:szCs w:val="24"/>
          <w:lang w:eastAsia="fr-FR"/>
        </w:rPr>
      </w:pPr>
    </w:p>
    <w:p w14:paraId="144E16B4" w14:textId="77777777" w:rsidR="006814E4" w:rsidRPr="00532B34" w:rsidRDefault="006814E4" w:rsidP="006814E4">
      <w:pPr>
        <w:rPr>
          <w:rFonts w:ascii="Times New Roman" w:hAnsi="Times New Roman" w:cs="Times New Roman"/>
          <w:sz w:val="24"/>
          <w:szCs w:val="24"/>
        </w:rPr>
      </w:pPr>
      <w:r w:rsidRPr="00532B34">
        <w:rPr>
          <w:rFonts w:ascii="Times New Roman" w:hAnsi="Times New Roman" w:cs="Times New Roman"/>
          <w:sz w:val="24"/>
          <w:szCs w:val="24"/>
        </w:rPr>
        <w:t>Sur les coteaux bordant la rive droite du Rhône, entre le pont d’Avignon et le pont du Gard, niche un terroir d’exception … Le « Royaume du Tavel »</w:t>
      </w:r>
    </w:p>
    <w:p w14:paraId="12C9B56F" w14:textId="77777777" w:rsidR="006814E4" w:rsidRPr="00532B34" w:rsidRDefault="006814E4" w:rsidP="006814E4">
      <w:pPr>
        <w:rPr>
          <w:rFonts w:ascii="Times New Roman" w:hAnsi="Times New Roman" w:cs="Times New Roman"/>
          <w:sz w:val="24"/>
          <w:szCs w:val="24"/>
        </w:rPr>
      </w:pPr>
      <w:r w:rsidRPr="00532B34">
        <w:rPr>
          <w:rFonts w:ascii="Times New Roman" w:hAnsi="Times New Roman" w:cs="Times New Roman"/>
          <w:sz w:val="24"/>
          <w:szCs w:val="24"/>
        </w:rPr>
        <w:t xml:space="preserve">Sur ce terroir panaché, de lauzes, de galets, de sable et de cailloutis, s’expriment pleinement de nobles cépages qui donnent naissance à ce cru unique dédié au rosé. </w:t>
      </w:r>
    </w:p>
    <w:p w14:paraId="5F422615" w14:textId="77777777" w:rsidR="006814E4" w:rsidRDefault="006814E4" w:rsidP="006814E4">
      <w:pPr>
        <w:pStyle w:val="Titre3"/>
        <w:shd w:val="clear" w:color="auto" w:fill="FEFEFE"/>
        <w:spacing w:before="0"/>
        <w:jc w:val="both"/>
        <w:rPr>
          <w:rFonts w:ascii="Times New Roman" w:hAnsi="Times New Roman" w:cs="Times New Roman"/>
          <w:color w:val="auto"/>
        </w:rPr>
      </w:pPr>
    </w:p>
    <w:p w14:paraId="07BBEDC4" w14:textId="77777777" w:rsidR="006814E4" w:rsidRPr="001330A6" w:rsidRDefault="006814E4" w:rsidP="006814E4">
      <w:pPr>
        <w:pStyle w:val="Titre3"/>
        <w:shd w:val="clear" w:color="auto" w:fill="FEFEFE"/>
        <w:spacing w:before="0"/>
        <w:jc w:val="both"/>
        <w:rPr>
          <w:rFonts w:ascii="Times New Roman" w:hAnsi="Times New Roman" w:cs="Times New Roman"/>
          <w:color w:val="auto"/>
        </w:rPr>
      </w:pPr>
      <w:r w:rsidRPr="001330A6">
        <w:rPr>
          <w:rFonts w:ascii="Times New Roman" w:hAnsi="Times New Roman" w:cs="Times New Roman"/>
          <w:color w:val="auto"/>
        </w:rPr>
        <w:t>Dans l’univers du vin, il y a le blanc, le rosé, le rouge et... le Tavel</w:t>
      </w:r>
    </w:p>
    <w:p w14:paraId="4F9D2E87" w14:textId="77777777" w:rsidR="006814E4" w:rsidRPr="001330A6" w:rsidRDefault="006814E4" w:rsidP="006814E4">
      <w:pPr>
        <w:pStyle w:val="Titre5"/>
        <w:shd w:val="clear" w:color="auto" w:fill="FEFEFE"/>
        <w:spacing w:before="0"/>
        <w:jc w:val="both"/>
        <w:rPr>
          <w:rFonts w:ascii="Times New Roman" w:hAnsi="Times New Roman" w:cs="Times New Roman"/>
          <w:color w:val="auto"/>
          <w:sz w:val="24"/>
          <w:szCs w:val="24"/>
        </w:rPr>
      </w:pPr>
      <w:r w:rsidRPr="001330A6">
        <w:rPr>
          <w:rFonts w:ascii="Times New Roman" w:hAnsi="Times New Roman" w:cs="Times New Roman"/>
          <w:color w:val="auto"/>
          <w:sz w:val="24"/>
          <w:szCs w:val="24"/>
        </w:rPr>
        <w:t>Le Tavel est un grand cru de la Vallée du Rhône, il est, aux dires de nombreux gastronomes, considéré comme le meilleur rosé du monde.</w:t>
      </w:r>
    </w:p>
    <w:p w14:paraId="5C0EBEF8" w14:textId="77777777" w:rsidR="006814E4" w:rsidRPr="001330A6" w:rsidRDefault="006814E4" w:rsidP="006814E4">
      <w:pPr>
        <w:rPr>
          <w:rFonts w:ascii="Times New Roman" w:hAnsi="Times New Roman" w:cs="Times New Roman"/>
          <w:sz w:val="24"/>
          <w:szCs w:val="24"/>
          <w:shd w:val="clear" w:color="auto" w:fill="66605B"/>
        </w:rPr>
      </w:pPr>
    </w:p>
    <w:p w14:paraId="3CC10656" w14:textId="77777777" w:rsidR="006814E4" w:rsidRPr="001330A6" w:rsidRDefault="006814E4" w:rsidP="006814E4">
      <w:pPr>
        <w:pStyle w:val="Titre3"/>
        <w:shd w:val="clear" w:color="auto" w:fill="FEFEFE"/>
        <w:spacing w:before="0"/>
        <w:jc w:val="both"/>
        <w:rPr>
          <w:rFonts w:ascii="Times New Roman" w:hAnsi="Times New Roman" w:cs="Times New Roman"/>
          <w:color w:val="auto"/>
        </w:rPr>
      </w:pPr>
      <w:r w:rsidRPr="001330A6">
        <w:rPr>
          <w:rFonts w:ascii="Times New Roman" w:hAnsi="Times New Roman" w:cs="Times New Roman"/>
          <w:color w:val="auto"/>
        </w:rPr>
        <w:t>Aucun de ces cépages ne peut dépasser 60 % de l’encépagement. Chacun par son caractère apporte une matière et une lumière particulière au Tavel.</w:t>
      </w:r>
    </w:p>
    <w:p w14:paraId="541CEDB4" w14:textId="77777777" w:rsidR="006814E4" w:rsidRPr="00FC6AAB" w:rsidRDefault="006814E4" w:rsidP="006814E4">
      <w:pPr>
        <w:pStyle w:val="Titre5"/>
        <w:shd w:val="clear" w:color="auto" w:fill="FEFEFE"/>
        <w:spacing w:before="0"/>
        <w:jc w:val="both"/>
        <w:rPr>
          <w:rFonts w:ascii="Times New Roman" w:hAnsi="Times New Roman" w:cs="Times New Roman"/>
          <w:color w:val="auto"/>
          <w:sz w:val="24"/>
          <w:szCs w:val="24"/>
        </w:rPr>
      </w:pPr>
      <w:r w:rsidRPr="00FC6AAB">
        <w:rPr>
          <w:rFonts w:ascii="Times New Roman" w:hAnsi="Times New Roman" w:cs="Times New Roman"/>
          <w:color w:val="auto"/>
          <w:sz w:val="24"/>
          <w:szCs w:val="24"/>
        </w:rPr>
        <w:t>Syrah : puissance aromatique des fruits rouges, Mourvèdre : couleur incomparable et fraîcheur aromatique. Cinsault : finesse aromatique. Clairette : onctuosité et ampleur, les arômes de fleurs. Grenache : rondeur et puissance. Bourboulenc : pour les notes florales et fraîches. Carignan : tannin, couleur et fruit garant d’élégance. Picpoul et du Calitor extrêmement rare, ce cépage fait partie de l’histoire des vignerons tavellois.</w:t>
      </w:r>
    </w:p>
    <w:p w14:paraId="74D7F1C5" w14:textId="77777777" w:rsidR="006814E4" w:rsidRPr="001330A6" w:rsidRDefault="006814E4" w:rsidP="006814E4">
      <w:pPr>
        <w:rPr>
          <w:rFonts w:ascii="Times New Roman" w:hAnsi="Times New Roman" w:cs="Times New Roman"/>
          <w:sz w:val="24"/>
          <w:szCs w:val="24"/>
        </w:rPr>
      </w:pPr>
    </w:p>
    <w:p w14:paraId="1B631B8A" w14:textId="77777777" w:rsidR="006814E4" w:rsidRPr="00532B34" w:rsidRDefault="006814E4" w:rsidP="006814E4">
      <w:pPr>
        <w:rPr>
          <w:rFonts w:ascii="Times New Roman" w:hAnsi="Times New Roman" w:cs="Times New Roman"/>
          <w:sz w:val="48"/>
          <w:szCs w:val="48"/>
        </w:rPr>
      </w:pPr>
      <w:r>
        <w:rPr>
          <w:rFonts w:ascii="Times New Roman" w:hAnsi="Times New Roman" w:cs="Times New Roman"/>
          <w:sz w:val="48"/>
          <w:szCs w:val="48"/>
        </w:rPr>
        <w:t xml:space="preserve">4 - </w:t>
      </w:r>
      <w:r w:rsidRPr="00532B34">
        <w:rPr>
          <w:rFonts w:ascii="Times New Roman" w:hAnsi="Times New Roman" w:cs="Times New Roman"/>
          <w:sz w:val="48"/>
          <w:szCs w:val="48"/>
        </w:rPr>
        <w:t xml:space="preserve">Château MINUTY </w:t>
      </w:r>
      <w:r>
        <w:rPr>
          <w:rFonts w:ascii="Times New Roman" w:hAnsi="Times New Roman" w:cs="Times New Roman"/>
          <w:sz w:val="48"/>
          <w:szCs w:val="48"/>
        </w:rPr>
        <w:t xml:space="preserve">– </w:t>
      </w:r>
      <w:r w:rsidRPr="00532B34">
        <w:rPr>
          <w:rFonts w:ascii="Times New Roman" w:hAnsi="Times New Roman" w:cs="Times New Roman"/>
          <w:sz w:val="48"/>
          <w:szCs w:val="48"/>
        </w:rPr>
        <w:t>2021</w:t>
      </w:r>
      <w:r>
        <w:rPr>
          <w:rFonts w:ascii="Times New Roman" w:hAnsi="Times New Roman" w:cs="Times New Roman"/>
          <w:sz w:val="48"/>
          <w:szCs w:val="48"/>
        </w:rPr>
        <w:t>- 13°</w:t>
      </w:r>
    </w:p>
    <w:p w14:paraId="4424321B" w14:textId="77777777" w:rsidR="006814E4" w:rsidRPr="00532B34" w:rsidRDefault="006814E4" w:rsidP="006814E4">
      <w:pPr>
        <w:shd w:val="clear" w:color="auto" w:fill="FFFFFF"/>
        <w:rPr>
          <w:rFonts w:ascii="Times New Roman" w:hAnsi="Times New Roman" w:cs="Times New Roman"/>
          <w:sz w:val="24"/>
          <w:szCs w:val="24"/>
          <w:shd w:val="clear" w:color="auto" w:fill="FFFFFF"/>
        </w:rPr>
      </w:pPr>
    </w:p>
    <w:p w14:paraId="3BA31FC2" w14:textId="77777777" w:rsidR="006814E4" w:rsidRPr="001330A6" w:rsidRDefault="006814E4" w:rsidP="006814E4">
      <w:pPr>
        <w:shd w:val="clear" w:color="auto" w:fill="FFFFFF"/>
        <w:rPr>
          <w:rFonts w:ascii="Times New Roman" w:eastAsia="Times New Roman" w:hAnsi="Times New Roman" w:cs="Times New Roman"/>
          <w:spacing w:val="10"/>
          <w:sz w:val="24"/>
          <w:szCs w:val="24"/>
          <w:lang w:eastAsia="fr-FR"/>
        </w:rPr>
      </w:pPr>
      <w:r>
        <w:rPr>
          <w:rFonts w:ascii="Times New Roman" w:hAnsi="Times New Roman" w:cs="Times New Roman"/>
          <w:sz w:val="24"/>
          <w:szCs w:val="24"/>
          <w:shd w:val="clear" w:color="auto" w:fill="FFFFFF"/>
        </w:rPr>
        <w:t xml:space="preserve">Minuty cultive </w:t>
      </w:r>
      <w:r w:rsidRPr="001330A6">
        <w:rPr>
          <w:rFonts w:ascii="Times New Roman" w:hAnsi="Times New Roman" w:cs="Times New Roman"/>
          <w:sz w:val="24"/>
          <w:szCs w:val="24"/>
          <w:shd w:val="clear" w:color="auto" w:fill="FFFFFF"/>
        </w:rPr>
        <w:t>sans désherbant ni pesticide</w:t>
      </w:r>
    </w:p>
    <w:p w14:paraId="7C06292B" w14:textId="77777777" w:rsidR="006814E4" w:rsidRPr="001330A6" w:rsidRDefault="006814E4" w:rsidP="006814E4">
      <w:pPr>
        <w:shd w:val="clear" w:color="auto" w:fill="FFFFFF"/>
        <w:rPr>
          <w:rFonts w:ascii="Times New Roman" w:eastAsia="Times New Roman" w:hAnsi="Times New Roman" w:cs="Times New Roman"/>
          <w:spacing w:val="10"/>
          <w:sz w:val="24"/>
          <w:szCs w:val="24"/>
          <w:lang w:eastAsia="fr-FR"/>
        </w:rPr>
      </w:pPr>
      <w:r w:rsidRPr="001330A6">
        <w:rPr>
          <w:rFonts w:ascii="Times New Roman" w:eastAsia="Times New Roman" w:hAnsi="Times New Roman" w:cs="Times New Roman"/>
          <w:spacing w:val="10"/>
          <w:sz w:val="24"/>
          <w:szCs w:val="24"/>
          <w:lang w:eastAsia="fr-FR"/>
        </w:rPr>
        <w:t>Au cœur de la Provence, les 160 hectares de vignes du </w:t>
      </w:r>
      <w:hyperlink r:id="rId15" w:history="1">
        <w:r w:rsidRPr="001330A6">
          <w:rPr>
            <w:rFonts w:ascii="Times New Roman" w:eastAsia="Times New Roman" w:hAnsi="Times New Roman" w:cs="Times New Roman"/>
            <w:sz w:val="24"/>
            <w:szCs w:val="24"/>
            <w:u w:val="single"/>
            <w:lang w:eastAsia="fr-FR"/>
          </w:rPr>
          <w:t>Château Minuty</w:t>
        </w:r>
      </w:hyperlink>
      <w:r w:rsidRPr="001330A6">
        <w:rPr>
          <w:rFonts w:ascii="Times New Roman" w:eastAsia="Times New Roman" w:hAnsi="Times New Roman" w:cs="Times New Roman"/>
          <w:spacing w:val="10"/>
          <w:sz w:val="24"/>
          <w:szCs w:val="24"/>
          <w:lang w:eastAsia="fr-FR"/>
        </w:rPr>
        <w:t xml:space="preserve"> couvrent la presqu’île de Saint-Tropez. Sur les coteaux de Gassin et de Ramatuelle, le vignoble bénéficie d’un climat méditerranéen. Les brises marines provenant de la côte permettent la préservation de l’état sanitaire des raisins tout au long de l’année. Les sols sont variés entre schistes et calcaires ce qui permet de cultiver les différents cépages à l’endroit où ils s’épanouissent le mieux. Cultivées en viticulture raisonnée. </w:t>
      </w:r>
      <w:r>
        <w:rPr>
          <w:rFonts w:ascii="Times New Roman" w:eastAsia="Times New Roman" w:hAnsi="Times New Roman" w:cs="Times New Roman"/>
          <w:spacing w:val="10"/>
          <w:sz w:val="24"/>
          <w:szCs w:val="24"/>
          <w:lang w:eastAsia="fr-FR"/>
        </w:rPr>
        <w:t>Pour</w:t>
      </w:r>
      <w:r w:rsidRPr="001330A6">
        <w:rPr>
          <w:rFonts w:ascii="Times New Roman" w:eastAsia="Times New Roman" w:hAnsi="Times New Roman" w:cs="Times New Roman"/>
          <w:spacing w:val="10"/>
          <w:sz w:val="24"/>
          <w:szCs w:val="24"/>
          <w:lang w:eastAsia="fr-FR"/>
        </w:rPr>
        <w:t xml:space="preserve"> une qualité optimale et constante, une sélection massale est effectuée parmi une collection de grenache âgée de 30 ans en moyenne.</w:t>
      </w:r>
      <w:r>
        <w:rPr>
          <w:rFonts w:ascii="Times New Roman" w:eastAsia="Times New Roman" w:hAnsi="Times New Roman" w:cs="Times New Roman"/>
          <w:spacing w:val="10"/>
          <w:sz w:val="24"/>
          <w:szCs w:val="24"/>
          <w:lang w:eastAsia="fr-FR"/>
        </w:rPr>
        <w:t xml:space="preserve"> </w:t>
      </w:r>
      <w:r w:rsidRPr="001330A6">
        <w:rPr>
          <w:rFonts w:ascii="Times New Roman" w:eastAsia="Times New Roman" w:hAnsi="Times New Roman" w:cs="Times New Roman"/>
          <w:spacing w:val="10"/>
          <w:sz w:val="24"/>
          <w:szCs w:val="24"/>
          <w:lang w:eastAsia="fr-FR"/>
        </w:rPr>
        <w:t xml:space="preserve">À la suite des vendanges manuelles, les raisins </w:t>
      </w:r>
      <w:r>
        <w:rPr>
          <w:rFonts w:ascii="Times New Roman" w:eastAsia="Times New Roman" w:hAnsi="Times New Roman" w:cs="Times New Roman"/>
          <w:spacing w:val="10"/>
          <w:sz w:val="24"/>
          <w:szCs w:val="24"/>
          <w:lang w:eastAsia="fr-FR"/>
        </w:rPr>
        <w:t xml:space="preserve">subissent </w:t>
      </w:r>
      <w:r w:rsidRPr="001330A6">
        <w:rPr>
          <w:rFonts w:ascii="Times New Roman" w:eastAsia="Times New Roman" w:hAnsi="Times New Roman" w:cs="Times New Roman"/>
          <w:spacing w:val="10"/>
          <w:sz w:val="24"/>
          <w:szCs w:val="24"/>
          <w:lang w:eastAsia="fr-FR"/>
        </w:rPr>
        <w:t>un pressurage direct. Débourbage et fermentation à basse température.</w:t>
      </w:r>
    </w:p>
    <w:p w14:paraId="136652B5" w14:textId="77777777" w:rsidR="006814E4" w:rsidRDefault="006814E4" w:rsidP="006814E4">
      <w:pPr>
        <w:shd w:val="clear" w:color="auto" w:fill="FFFFFF"/>
        <w:rPr>
          <w:rFonts w:ascii="Times New Roman" w:eastAsia="Times New Roman" w:hAnsi="Times New Roman" w:cs="Times New Roman"/>
          <w:spacing w:val="10"/>
          <w:sz w:val="24"/>
          <w:szCs w:val="24"/>
          <w:lang w:eastAsia="fr-FR"/>
        </w:rPr>
      </w:pPr>
      <w:r w:rsidRPr="001330A6">
        <w:rPr>
          <w:rFonts w:ascii="Times New Roman" w:eastAsia="Times New Roman" w:hAnsi="Times New Roman" w:cs="Times New Roman"/>
          <w:b/>
          <w:bCs/>
          <w:spacing w:val="10"/>
          <w:sz w:val="24"/>
          <w:szCs w:val="24"/>
          <w:lang w:eastAsia="fr-FR"/>
        </w:rPr>
        <w:t>Assemblage</w:t>
      </w:r>
      <w:r>
        <w:rPr>
          <w:rFonts w:ascii="Times New Roman" w:eastAsia="Times New Roman" w:hAnsi="Times New Roman" w:cs="Times New Roman"/>
          <w:b/>
          <w:bCs/>
          <w:spacing w:val="10"/>
          <w:sz w:val="24"/>
          <w:szCs w:val="24"/>
          <w:lang w:eastAsia="fr-FR"/>
        </w:rPr>
        <w:t xml:space="preserve"> de </w:t>
      </w:r>
      <w:hyperlink r:id="rId16" w:history="1">
        <w:r w:rsidRPr="00532B34">
          <w:rPr>
            <w:rFonts w:ascii="Times New Roman" w:eastAsia="Times New Roman" w:hAnsi="Times New Roman" w:cs="Times New Roman"/>
            <w:sz w:val="24"/>
            <w:szCs w:val="24"/>
            <w:lang w:eastAsia="fr-FR"/>
          </w:rPr>
          <w:t>Grenache</w:t>
        </w:r>
      </w:hyperlink>
      <w:r w:rsidRPr="00532B34">
        <w:rPr>
          <w:rFonts w:ascii="Times New Roman" w:eastAsia="Times New Roman" w:hAnsi="Times New Roman" w:cs="Times New Roman"/>
          <w:sz w:val="24"/>
          <w:szCs w:val="24"/>
          <w:lang w:eastAsia="fr-FR"/>
        </w:rPr>
        <w:t xml:space="preserve">, </w:t>
      </w:r>
      <w:r w:rsidRPr="001330A6">
        <w:rPr>
          <w:rFonts w:ascii="Times New Roman" w:eastAsia="Times New Roman" w:hAnsi="Times New Roman" w:cs="Times New Roman"/>
          <w:spacing w:val="10"/>
          <w:sz w:val="24"/>
          <w:szCs w:val="24"/>
          <w:lang w:eastAsia="fr-FR"/>
        </w:rPr>
        <w:t>Syrah</w:t>
      </w:r>
      <w:r>
        <w:rPr>
          <w:rFonts w:ascii="Times New Roman" w:eastAsia="Times New Roman" w:hAnsi="Times New Roman" w:cs="Times New Roman"/>
          <w:spacing w:val="10"/>
          <w:sz w:val="24"/>
          <w:szCs w:val="24"/>
          <w:lang w:eastAsia="fr-FR"/>
        </w:rPr>
        <w:t xml:space="preserve"> et </w:t>
      </w:r>
      <w:r w:rsidRPr="001330A6">
        <w:rPr>
          <w:rFonts w:ascii="Times New Roman" w:eastAsia="Times New Roman" w:hAnsi="Times New Roman" w:cs="Times New Roman"/>
          <w:spacing w:val="10"/>
          <w:sz w:val="24"/>
          <w:szCs w:val="24"/>
          <w:lang w:eastAsia="fr-FR"/>
        </w:rPr>
        <w:t>Cinsault</w:t>
      </w:r>
      <w:r>
        <w:rPr>
          <w:rFonts w:ascii="Times New Roman" w:eastAsia="Times New Roman" w:hAnsi="Times New Roman" w:cs="Times New Roman"/>
          <w:spacing w:val="10"/>
          <w:sz w:val="24"/>
          <w:szCs w:val="24"/>
          <w:lang w:eastAsia="fr-FR"/>
        </w:rPr>
        <w:t xml:space="preserve"> - </w:t>
      </w:r>
      <w:r w:rsidRPr="001330A6">
        <w:rPr>
          <w:rFonts w:ascii="Times New Roman" w:eastAsia="Times New Roman" w:hAnsi="Times New Roman" w:cs="Times New Roman"/>
          <w:b/>
          <w:bCs/>
          <w:spacing w:val="10"/>
          <w:sz w:val="24"/>
          <w:szCs w:val="24"/>
          <w:lang w:eastAsia="fr-FR"/>
        </w:rPr>
        <w:t>Dégustation</w:t>
      </w:r>
      <w:r>
        <w:rPr>
          <w:rFonts w:ascii="Times New Roman" w:eastAsia="Times New Roman" w:hAnsi="Times New Roman" w:cs="Times New Roman"/>
          <w:b/>
          <w:bCs/>
          <w:spacing w:val="10"/>
          <w:sz w:val="24"/>
          <w:szCs w:val="24"/>
          <w:lang w:eastAsia="fr-FR"/>
        </w:rPr>
        <w:t xml:space="preserve"> : </w:t>
      </w:r>
      <w:r w:rsidRPr="001330A6">
        <w:rPr>
          <w:rFonts w:ascii="Times New Roman" w:eastAsia="Times New Roman" w:hAnsi="Times New Roman" w:cs="Times New Roman"/>
          <w:spacing w:val="10"/>
          <w:sz w:val="24"/>
          <w:szCs w:val="24"/>
          <w:lang w:eastAsia="fr-FR"/>
        </w:rPr>
        <w:t>La robe est brillante.</w:t>
      </w:r>
      <w:r>
        <w:rPr>
          <w:rFonts w:ascii="Times New Roman" w:eastAsia="Times New Roman" w:hAnsi="Times New Roman" w:cs="Times New Roman"/>
          <w:spacing w:val="10"/>
          <w:sz w:val="24"/>
          <w:szCs w:val="24"/>
          <w:lang w:eastAsia="fr-FR"/>
        </w:rPr>
        <w:t xml:space="preserve"> </w:t>
      </w:r>
    </w:p>
    <w:p w14:paraId="577F9570" w14:textId="77777777" w:rsidR="006814E4" w:rsidRPr="001330A6" w:rsidRDefault="006814E4" w:rsidP="006814E4">
      <w:pPr>
        <w:shd w:val="clear" w:color="auto" w:fill="FFFFFF"/>
        <w:rPr>
          <w:rFonts w:ascii="Times New Roman" w:eastAsia="Times New Roman" w:hAnsi="Times New Roman" w:cs="Times New Roman"/>
          <w:spacing w:val="10"/>
          <w:sz w:val="24"/>
          <w:szCs w:val="24"/>
          <w:lang w:eastAsia="fr-FR"/>
        </w:rPr>
      </w:pPr>
      <w:r>
        <w:rPr>
          <w:rFonts w:ascii="Times New Roman" w:eastAsia="Times New Roman" w:hAnsi="Times New Roman" w:cs="Times New Roman"/>
          <w:spacing w:val="10"/>
          <w:sz w:val="24"/>
          <w:szCs w:val="24"/>
          <w:lang w:eastAsia="fr-FR"/>
        </w:rPr>
        <w:t xml:space="preserve">Le </w:t>
      </w:r>
      <w:r w:rsidRPr="001330A6">
        <w:rPr>
          <w:rFonts w:ascii="Times New Roman" w:eastAsia="Times New Roman" w:hAnsi="Times New Roman" w:cs="Times New Roman"/>
          <w:spacing w:val="10"/>
          <w:sz w:val="24"/>
          <w:szCs w:val="24"/>
          <w:lang w:eastAsia="fr-FR"/>
        </w:rPr>
        <w:t>Nez</w:t>
      </w:r>
      <w:r>
        <w:rPr>
          <w:rFonts w:ascii="Times New Roman" w:eastAsia="Times New Roman" w:hAnsi="Times New Roman" w:cs="Times New Roman"/>
          <w:spacing w:val="10"/>
          <w:sz w:val="24"/>
          <w:szCs w:val="24"/>
          <w:lang w:eastAsia="fr-FR"/>
        </w:rPr>
        <w:t xml:space="preserve"> : </w:t>
      </w:r>
      <w:r w:rsidRPr="001330A6">
        <w:rPr>
          <w:rFonts w:ascii="Times New Roman" w:eastAsia="Times New Roman" w:hAnsi="Times New Roman" w:cs="Times New Roman"/>
          <w:spacing w:val="10"/>
          <w:sz w:val="24"/>
          <w:szCs w:val="24"/>
          <w:lang w:eastAsia="fr-FR"/>
        </w:rPr>
        <w:t>Expressif, le nez mêle des fragrances d’écorces d’orange et de groseille.</w:t>
      </w:r>
    </w:p>
    <w:p w14:paraId="5494BF8E" w14:textId="77777777" w:rsidR="006814E4" w:rsidRPr="001330A6" w:rsidRDefault="006814E4" w:rsidP="006814E4">
      <w:pPr>
        <w:pStyle w:val="NormalWeb"/>
        <w:shd w:val="clear" w:color="auto" w:fill="FEFEFE"/>
        <w:spacing w:before="0" w:beforeAutospacing="0" w:after="0" w:afterAutospacing="0"/>
        <w:jc w:val="both"/>
        <w:rPr>
          <w:shd w:val="clear" w:color="auto" w:fill="FFFFFF"/>
        </w:rPr>
      </w:pPr>
    </w:p>
    <w:p w14:paraId="69858A91" w14:textId="77777777" w:rsidR="006814E4" w:rsidRPr="001330A6" w:rsidRDefault="006814E4" w:rsidP="006814E4">
      <w:pPr>
        <w:pStyle w:val="NormalWeb"/>
        <w:shd w:val="clear" w:color="auto" w:fill="FEFEFE"/>
        <w:spacing w:before="0" w:beforeAutospacing="0" w:after="0" w:afterAutospacing="0"/>
        <w:jc w:val="both"/>
        <w:rPr>
          <w:sz w:val="48"/>
          <w:szCs w:val="48"/>
          <w:shd w:val="clear" w:color="auto" w:fill="FFFFFF"/>
        </w:rPr>
      </w:pPr>
      <w:r>
        <w:rPr>
          <w:sz w:val="48"/>
          <w:szCs w:val="48"/>
          <w:shd w:val="clear" w:color="auto" w:fill="FFFFFF"/>
        </w:rPr>
        <w:t xml:space="preserve">Le 5éme élément - </w:t>
      </w:r>
      <w:r w:rsidRPr="001330A6">
        <w:rPr>
          <w:sz w:val="48"/>
          <w:szCs w:val="48"/>
          <w:shd w:val="clear" w:color="auto" w:fill="FFFFFF"/>
        </w:rPr>
        <w:t xml:space="preserve"> 2020</w:t>
      </w:r>
      <w:r>
        <w:rPr>
          <w:sz w:val="48"/>
          <w:szCs w:val="48"/>
          <w:shd w:val="clear" w:color="auto" w:fill="FFFFFF"/>
        </w:rPr>
        <w:t xml:space="preserve"> – Médaille d’or 2021</w:t>
      </w:r>
      <w:r w:rsidRPr="001330A6">
        <w:rPr>
          <w:sz w:val="48"/>
          <w:szCs w:val="48"/>
          <w:shd w:val="clear" w:color="auto" w:fill="FFFFFF"/>
        </w:rPr>
        <w:t xml:space="preserve"> – 11,5°</w:t>
      </w:r>
    </w:p>
    <w:p w14:paraId="4321D0AA" w14:textId="77777777" w:rsidR="006814E4" w:rsidRPr="001330A6" w:rsidRDefault="006814E4" w:rsidP="006814E4">
      <w:pPr>
        <w:pStyle w:val="NormalWeb"/>
        <w:shd w:val="clear" w:color="auto" w:fill="FEFEFE"/>
        <w:spacing w:before="0" w:beforeAutospacing="0" w:after="0" w:afterAutospacing="0"/>
        <w:jc w:val="both"/>
        <w:rPr>
          <w:shd w:val="clear" w:color="auto" w:fill="FFFFFF"/>
        </w:rPr>
      </w:pPr>
    </w:p>
    <w:p w14:paraId="034EEA7F" w14:textId="77777777" w:rsidR="006814E4" w:rsidRPr="001330A6" w:rsidRDefault="006814E4" w:rsidP="006814E4">
      <w:pPr>
        <w:shd w:val="clear" w:color="auto" w:fill="FFFFFF"/>
        <w:rPr>
          <w:rFonts w:ascii="Times New Roman" w:eastAsia="Times New Roman" w:hAnsi="Times New Roman" w:cs="Times New Roman"/>
          <w:sz w:val="24"/>
          <w:szCs w:val="24"/>
          <w:lang w:eastAsia="fr-FR"/>
        </w:rPr>
      </w:pPr>
      <w:r w:rsidRPr="001330A6">
        <w:rPr>
          <w:rFonts w:ascii="Times New Roman" w:eastAsia="Times New Roman" w:hAnsi="Times New Roman" w:cs="Times New Roman"/>
          <w:sz w:val="24"/>
          <w:szCs w:val="24"/>
          <w:lang w:eastAsia="fr-FR"/>
        </w:rPr>
        <w:t>Ce vin rosé est très apprécié pour son fruité.  L'attaque fraîche sans agressivité est suivie d'une longue présence en bouche. Il est issu de 50% de pressurage et de 50% de saignée.</w:t>
      </w:r>
    </w:p>
    <w:p w14:paraId="0586AA5C" w14:textId="77777777" w:rsidR="006814E4" w:rsidRPr="001330A6" w:rsidRDefault="006814E4" w:rsidP="006814E4">
      <w:pPr>
        <w:shd w:val="clear" w:color="auto" w:fill="FFFFFF"/>
        <w:rPr>
          <w:rFonts w:ascii="Times New Roman" w:eastAsia="Times New Roman" w:hAnsi="Times New Roman" w:cs="Times New Roman"/>
          <w:sz w:val="24"/>
          <w:szCs w:val="24"/>
          <w:lang w:eastAsia="fr-FR"/>
        </w:rPr>
      </w:pPr>
      <w:r w:rsidRPr="001330A6">
        <w:rPr>
          <w:rFonts w:ascii="Times New Roman" w:eastAsia="Times New Roman" w:hAnsi="Times New Roman" w:cs="Times New Roman"/>
          <w:sz w:val="24"/>
          <w:szCs w:val="24"/>
          <w:lang w:eastAsia="fr-FR"/>
        </w:rPr>
        <w:t>Ce vin est idéal pour l'été, à consommer bien frais.</w:t>
      </w:r>
    </w:p>
    <w:p w14:paraId="1A4242F3" w14:textId="4B353563" w:rsidR="00055819" w:rsidRDefault="006814E4" w:rsidP="006814E4">
      <w:pPr>
        <w:shd w:val="clear" w:color="auto" w:fill="FFFFFF"/>
        <w:rPr>
          <w:rFonts w:ascii="Times New Roman" w:eastAsia="Times New Roman" w:hAnsi="Times New Roman" w:cs="Times New Roman"/>
          <w:sz w:val="24"/>
          <w:szCs w:val="24"/>
          <w:lang w:eastAsia="fr-FR"/>
        </w:rPr>
      </w:pPr>
      <w:r w:rsidRPr="001330A6">
        <w:rPr>
          <w:rFonts w:ascii="Times New Roman" w:eastAsia="Times New Roman" w:hAnsi="Times New Roman" w:cs="Times New Roman"/>
          <w:sz w:val="24"/>
          <w:szCs w:val="24"/>
          <w:lang w:eastAsia="fr-FR"/>
        </w:rPr>
        <w:t>Cépage : Cabernet Franc</w:t>
      </w:r>
      <w:r>
        <w:rPr>
          <w:rFonts w:ascii="Times New Roman" w:eastAsia="Times New Roman" w:hAnsi="Times New Roman" w:cs="Times New Roman"/>
          <w:sz w:val="24"/>
          <w:szCs w:val="24"/>
          <w:lang w:eastAsia="fr-FR"/>
        </w:rPr>
        <w:t xml:space="preserve"> – Framboise, poivron vert et réglisse</w:t>
      </w:r>
    </w:p>
    <w:p w14:paraId="534DF945" w14:textId="77777777" w:rsidR="00055819" w:rsidRDefault="00055819">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tbl>
      <w:tblPr>
        <w:tblStyle w:val="Grilledutableau"/>
        <w:tblW w:w="0" w:type="auto"/>
        <w:tblLook w:val="04A0" w:firstRow="1" w:lastRow="0" w:firstColumn="1" w:lastColumn="0" w:noHBand="0" w:noVBand="1"/>
      </w:tblPr>
      <w:tblGrid>
        <w:gridCol w:w="5228"/>
        <w:gridCol w:w="5228"/>
      </w:tblGrid>
      <w:tr w:rsidR="00055819" w14:paraId="7158E92D" w14:textId="77777777" w:rsidTr="00055819">
        <w:tc>
          <w:tcPr>
            <w:tcW w:w="5228" w:type="dxa"/>
          </w:tcPr>
          <w:p w14:paraId="19E93972" w14:textId="7ACAEDAC" w:rsidR="00055819" w:rsidRDefault="00055819" w:rsidP="00055819">
            <w:pPr>
              <w:jc w:val="center"/>
              <w:rPr>
                <w:rFonts w:ascii="Times New Roman" w:eastAsia="Times New Roman" w:hAnsi="Times New Roman" w:cs="Times New Roman"/>
                <w:sz w:val="24"/>
                <w:szCs w:val="24"/>
                <w:lang w:eastAsia="fr-FR"/>
              </w:rPr>
            </w:pPr>
            <w:r>
              <w:rPr>
                <w:noProof/>
              </w:rPr>
              <w:lastRenderedPageBreak/>
              <w:drawing>
                <wp:inline distT="0" distB="0" distL="0" distR="0" wp14:anchorId="6DD97893" wp14:editId="7B725AF6">
                  <wp:extent cx="2124075" cy="3252751"/>
                  <wp:effectExtent l="0" t="0" r="0" b="50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8875" cy="3275415"/>
                          </a:xfrm>
                          <a:prstGeom prst="rect">
                            <a:avLst/>
                          </a:prstGeom>
                          <a:noFill/>
                          <a:ln>
                            <a:noFill/>
                          </a:ln>
                        </pic:spPr>
                      </pic:pic>
                    </a:graphicData>
                  </a:graphic>
                </wp:inline>
              </w:drawing>
            </w:r>
          </w:p>
        </w:tc>
        <w:tc>
          <w:tcPr>
            <w:tcW w:w="5228" w:type="dxa"/>
          </w:tcPr>
          <w:p w14:paraId="234D8E4D" w14:textId="1E1ABBE8" w:rsidR="00055819" w:rsidRDefault="00055819" w:rsidP="00055819">
            <w:pPr>
              <w:jc w:val="center"/>
              <w:rPr>
                <w:rFonts w:ascii="Times New Roman" w:eastAsia="Times New Roman" w:hAnsi="Times New Roman" w:cs="Times New Roman"/>
                <w:sz w:val="24"/>
                <w:szCs w:val="24"/>
                <w:lang w:eastAsia="fr-FR"/>
              </w:rPr>
            </w:pPr>
            <w:r>
              <w:rPr>
                <w:noProof/>
              </w:rPr>
              <w:drawing>
                <wp:inline distT="0" distB="0" distL="0" distR="0" wp14:anchorId="3DE59698" wp14:editId="39246662">
                  <wp:extent cx="2238375" cy="3252256"/>
                  <wp:effectExtent l="0" t="0" r="0"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3853" cy="3274745"/>
                          </a:xfrm>
                          <a:prstGeom prst="rect">
                            <a:avLst/>
                          </a:prstGeom>
                          <a:noFill/>
                          <a:ln>
                            <a:noFill/>
                          </a:ln>
                        </pic:spPr>
                      </pic:pic>
                    </a:graphicData>
                  </a:graphic>
                </wp:inline>
              </w:drawing>
            </w:r>
          </w:p>
        </w:tc>
      </w:tr>
      <w:tr w:rsidR="00055819" w14:paraId="5A570FB9" w14:textId="77777777" w:rsidTr="00055819">
        <w:tc>
          <w:tcPr>
            <w:tcW w:w="5228" w:type="dxa"/>
          </w:tcPr>
          <w:p w14:paraId="7AF64EF1" w14:textId="269A850F" w:rsidR="00055819" w:rsidRDefault="00055819" w:rsidP="00055819">
            <w:pPr>
              <w:jc w:val="center"/>
              <w:rPr>
                <w:rFonts w:ascii="Times New Roman" w:eastAsia="Times New Roman" w:hAnsi="Times New Roman" w:cs="Times New Roman"/>
                <w:sz w:val="24"/>
                <w:szCs w:val="24"/>
                <w:lang w:eastAsia="fr-FR"/>
              </w:rPr>
            </w:pPr>
            <w:r>
              <w:rPr>
                <w:noProof/>
              </w:rPr>
              <w:drawing>
                <wp:inline distT="0" distB="0" distL="0" distR="0" wp14:anchorId="5F49BE74" wp14:editId="73B3AABB">
                  <wp:extent cx="2181225" cy="3282593"/>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5815" cy="3289501"/>
                          </a:xfrm>
                          <a:prstGeom prst="rect">
                            <a:avLst/>
                          </a:prstGeom>
                          <a:noFill/>
                          <a:ln>
                            <a:noFill/>
                          </a:ln>
                        </pic:spPr>
                      </pic:pic>
                    </a:graphicData>
                  </a:graphic>
                </wp:inline>
              </w:drawing>
            </w:r>
          </w:p>
        </w:tc>
        <w:tc>
          <w:tcPr>
            <w:tcW w:w="5228" w:type="dxa"/>
          </w:tcPr>
          <w:p w14:paraId="563F6D75" w14:textId="42BC1729" w:rsidR="00055819" w:rsidRDefault="00055819" w:rsidP="00055819">
            <w:pPr>
              <w:jc w:val="center"/>
              <w:rPr>
                <w:rFonts w:ascii="Times New Roman" w:eastAsia="Times New Roman" w:hAnsi="Times New Roman" w:cs="Times New Roman"/>
                <w:sz w:val="24"/>
                <w:szCs w:val="24"/>
                <w:lang w:eastAsia="fr-FR"/>
              </w:rPr>
            </w:pPr>
            <w:r>
              <w:rPr>
                <w:noProof/>
              </w:rPr>
              <w:drawing>
                <wp:inline distT="0" distB="0" distL="0" distR="0" wp14:anchorId="3D389F11" wp14:editId="74E429EE">
                  <wp:extent cx="2370316" cy="328231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7120" cy="3291737"/>
                          </a:xfrm>
                          <a:prstGeom prst="rect">
                            <a:avLst/>
                          </a:prstGeom>
                          <a:noFill/>
                          <a:ln>
                            <a:noFill/>
                          </a:ln>
                        </pic:spPr>
                      </pic:pic>
                    </a:graphicData>
                  </a:graphic>
                </wp:inline>
              </w:drawing>
            </w:r>
          </w:p>
        </w:tc>
      </w:tr>
      <w:tr w:rsidR="00055819" w14:paraId="58DA1B78" w14:textId="77777777" w:rsidTr="00023442">
        <w:tc>
          <w:tcPr>
            <w:tcW w:w="10456" w:type="dxa"/>
            <w:gridSpan w:val="2"/>
          </w:tcPr>
          <w:p w14:paraId="65285F3A" w14:textId="2206A208" w:rsidR="00055819" w:rsidRDefault="00055819" w:rsidP="00055819">
            <w:pPr>
              <w:jc w:val="center"/>
              <w:rPr>
                <w:rFonts w:ascii="Times New Roman" w:eastAsia="Times New Roman" w:hAnsi="Times New Roman" w:cs="Times New Roman"/>
                <w:sz w:val="24"/>
                <w:szCs w:val="24"/>
                <w:lang w:eastAsia="fr-FR"/>
              </w:rPr>
            </w:pPr>
            <w:r>
              <w:rPr>
                <w:noProof/>
              </w:rPr>
              <w:drawing>
                <wp:inline distT="0" distB="0" distL="0" distR="0" wp14:anchorId="62B2CADB" wp14:editId="49BD4874">
                  <wp:extent cx="1848433" cy="28194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55416" cy="2830051"/>
                          </a:xfrm>
                          <a:prstGeom prst="rect">
                            <a:avLst/>
                          </a:prstGeom>
                          <a:noFill/>
                          <a:ln>
                            <a:noFill/>
                          </a:ln>
                        </pic:spPr>
                      </pic:pic>
                    </a:graphicData>
                  </a:graphic>
                </wp:inline>
              </w:drawing>
            </w:r>
          </w:p>
        </w:tc>
      </w:tr>
    </w:tbl>
    <w:p w14:paraId="46126839" w14:textId="77777777" w:rsidR="006814E4" w:rsidRDefault="006814E4" w:rsidP="006814E4">
      <w:pPr>
        <w:shd w:val="clear" w:color="auto" w:fill="FFFFFF"/>
        <w:rPr>
          <w:rFonts w:ascii="Times New Roman" w:eastAsia="Times New Roman" w:hAnsi="Times New Roman" w:cs="Times New Roman"/>
          <w:sz w:val="24"/>
          <w:szCs w:val="24"/>
          <w:lang w:eastAsia="fr-FR"/>
        </w:rPr>
      </w:pPr>
    </w:p>
    <w:p w14:paraId="05E85068" w14:textId="77777777" w:rsidR="006814E4" w:rsidRDefault="006814E4">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14:paraId="7E06F950" w14:textId="77777777" w:rsidR="006814E4" w:rsidRPr="001330A6" w:rsidRDefault="006814E4" w:rsidP="006814E4">
      <w:pPr>
        <w:shd w:val="clear" w:color="auto" w:fill="FFFFFF"/>
        <w:rPr>
          <w:rFonts w:ascii="Times New Roman" w:eastAsia="Times New Roman" w:hAnsi="Times New Roman" w:cs="Times New Roman"/>
          <w:sz w:val="24"/>
          <w:szCs w:val="24"/>
          <w:lang w:eastAsia="fr-FR"/>
        </w:rPr>
      </w:pPr>
    </w:p>
    <w:p w14:paraId="5F91AEC1" w14:textId="09389F9C" w:rsidR="006075A4" w:rsidRDefault="008B4467" w:rsidP="004360D0">
      <w:pPr>
        <w:jc w:val="center"/>
        <w:rPr>
          <w:rFonts w:ascii="Times New Roman" w:eastAsiaTheme="minorEastAsia" w:hAnsi="Times New Roman" w:cs="Times New Roman"/>
          <w:noProof/>
          <w:sz w:val="48"/>
          <w:szCs w:val="48"/>
          <w:lang w:eastAsia="fr-FR"/>
        </w:rPr>
      </w:pPr>
      <w:r>
        <w:rPr>
          <w:noProof/>
        </w:rPr>
        <w:drawing>
          <wp:inline distT="0" distB="0" distL="0" distR="0" wp14:anchorId="5C4FCF47" wp14:editId="7CCFCC0D">
            <wp:extent cx="808869" cy="1019175"/>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7719" cy="1030326"/>
                    </a:xfrm>
                    <a:prstGeom prst="rect">
                      <a:avLst/>
                    </a:prstGeom>
                    <a:noFill/>
                    <a:ln>
                      <a:noFill/>
                    </a:ln>
                  </pic:spPr>
                </pic:pic>
              </a:graphicData>
            </a:graphic>
          </wp:inline>
        </w:drawing>
      </w:r>
    </w:p>
    <w:p w14:paraId="1CDCE486" w14:textId="324C5B6B" w:rsidR="00FF6DCA" w:rsidRDefault="00FF6DCA" w:rsidP="004360D0">
      <w:pPr>
        <w:jc w:val="center"/>
        <w:rPr>
          <w:rFonts w:ascii="Times New Roman" w:eastAsiaTheme="minorEastAsia" w:hAnsi="Times New Roman" w:cs="Times New Roman"/>
          <w:noProof/>
          <w:sz w:val="48"/>
          <w:szCs w:val="48"/>
          <w:lang w:eastAsia="fr-FR"/>
        </w:rPr>
      </w:pPr>
      <w:r>
        <w:rPr>
          <w:rFonts w:ascii="Times New Roman" w:eastAsiaTheme="minorEastAsia" w:hAnsi="Times New Roman" w:cs="Times New Roman"/>
          <w:noProof/>
          <w:sz w:val="48"/>
          <w:szCs w:val="48"/>
          <w:lang w:eastAsia="fr-FR"/>
        </w:rPr>
        <w:t>Réunion du 21/07/2022</w:t>
      </w:r>
    </w:p>
    <w:p w14:paraId="31D82961" w14:textId="77777777" w:rsidR="00FF6DCA" w:rsidRDefault="00FF6DCA" w:rsidP="004360D0">
      <w:pPr>
        <w:jc w:val="center"/>
        <w:rPr>
          <w:rFonts w:ascii="Times New Roman" w:eastAsiaTheme="minorEastAsia" w:hAnsi="Times New Roman" w:cs="Times New Roman"/>
          <w:noProof/>
          <w:sz w:val="48"/>
          <w:szCs w:val="48"/>
          <w:lang w:eastAsia="fr-FR"/>
        </w:rPr>
      </w:pPr>
    </w:p>
    <w:p w14:paraId="56C8FAB4" w14:textId="11222BD3" w:rsidR="00612874" w:rsidRDefault="00A422C7" w:rsidP="004360D0">
      <w:pPr>
        <w:jc w:val="center"/>
        <w:rPr>
          <w:rFonts w:ascii="Times New Roman" w:eastAsiaTheme="minorEastAsia" w:hAnsi="Times New Roman" w:cs="Times New Roman"/>
          <w:noProof/>
          <w:sz w:val="48"/>
          <w:szCs w:val="48"/>
          <w:lang w:eastAsia="fr-FR"/>
        </w:rPr>
      </w:pPr>
      <w:r>
        <w:rPr>
          <w:rFonts w:ascii="Times New Roman" w:eastAsiaTheme="minorEastAsia" w:hAnsi="Times New Roman" w:cs="Times New Roman"/>
          <w:noProof/>
          <w:sz w:val="48"/>
          <w:szCs w:val="48"/>
          <w:lang w:eastAsia="fr-FR"/>
        </w:rPr>
        <w:t>Il falait trouver q</w:t>
      </w:r>
      <w:r w:rsidR="00612874">
        <w:rPr>
          <w:rFonts w:ascii="Times New Roman" w:eastAsiaTheme="minorEastAsia" w:hAnsi="Times New Roman" w:cs="Times New Roman"/>
          <w:noProof/>
          <w:sz w:val="48"/>
          <w:szCs w:val="48"/>
          <w:lang w:eastAsia="fr-FR"/>
        </w:rPr>
        <w:t xml:space="preserve">uel </w:t>
      </w:r>
      <w:r>
        <w:rPr>
          <w:rFonts w:ascii="Times New Roman" w:eastAsiaTheme="minorEastAsia" w:hAnsi="Times New Roman" w:cs="Times New Roman"/>
          <w:noProof/>
          <w:sz w:val="48"/>
          <w:szCs w:val="48"/>
          <w:lang w:eastAsia="fr-FR"/>
        </w:rPr>
        <w:t>était</w:t>
      </w:r>
      <w:r w:rsidR="00612874">
        <w:rPr>
          <w:rFonts w:ascii="Times New Roman" w:eastAsiaTheme="minorEastAsia" w:hAnsi="Times New Roman" w:cs="Times New Roman"/>
          <w:noProof/>
          <w:sz w:val="48"/>
          <w:szCs w:val="48"/>
          <w:lang w:eastAsia="fr-FR"/>
        </w:rPr>
        <w:t xml:space="preserve"> le 5</w:t>
      </w:r>
      <w:r w:rsidR="00612874" w:rsidRPr="00612874">
        <w:rPr>
          <w:rFonts w:ascii="Times New Roman" w:eastAsiaTheme="minorEastAsia" w:hAnsi="Times New Roman" w:cs="Times New Roman"/>
          <w:noProof/>
          <w:sz w:val="48"/>
          <w:szCs w:val="48"/>
          <w:vertAlign w:val="superscript"/>
          <w:lang w:eastAsia="fr-FR"/>
        </w:rPr>
        <w:t>ème</w:t>
      </w:r>
      <w:r w:rsidR="00612874">
        <w:rPr>
          <w:rFonts w:ascii="Times New Roman" w:eastAsiaTheme="minorEastAsia" w:hAnsi="Times New Roman" w:cs="Times New Roman"/>
          <w:noProof/>
          <w:sz w:val="48"/>
          <w:szCs w:val="48"/>
          <w:lang w:eastAsia="fr-FR"/>
        </w:rPr>
        <w:t xml:space="preserve"> élémént</w:t>
      </w:r>
    </w:p>
    <w:p w14:paraId="0AC68FC6" w14:textId="4FBC7E3D" w:rsidR="006075A4" w:rsidRDefault="00612874" w:rsidP="004360D0">
      <w:pPr>
        <w:jc w:val="center"/>
        <w:rPr>
          <w:rFonts w:ascii="Times New Roman" w:eastAsiaTheme="minorEastAsia" w:hAnsi="Times New Roman" w:cs="Times New Roman"/>
          <w:noProof/>
          <w:sz w:val="48"/>
          <w:szCs w:val="48"/>
          <w:lang w:eastAsia="fr-FR"/>
        </w:rPr>
      </w:pPr>
      <w:r>
        <w:rPr>
          <w:rFonts w:ascii="Times New Roman" w:eastAsiaTheme="minorEastAsia" w:hAnsi="Times New Roman" w:cs="Times New Roman"/>
          <w:noProof/>
          <w:sz w:val="48"/>
          <w:szCs w:val="48"/>
          <w:lang w:eastAsia="fr-FR"/>
        </w:rPr>
        <w:t>Donne</w:t>
      </w:r>
      <w:r w:rsidR="00A422C7">
        <w:rPr>
          <w:rFonts w:ascii="Times New Roman" w:eastAsiaTheme="minorEastAsia" w:hAnsi="Times New Roman" w:cs="Times New Roman"/>
          <w:noProof/>
          <w:sz w:val="48"/>
          <w:szCs w:val="48"/>
          <w:lang w:eastAsia="fr-FR"/>
        </w:rPr>
        <w:t>r</w:t>
      </w:r>
      <w:r>
        <w:rPr>
          <w:rFonts w:ascii="Times New Roman" w:eastAsiaTheme="minorEastAsia" w:hAnsi="Times New Roman" w:cs="Times New Roman"/>
          <w:noProof/>
          <w:sz w:val="48"/>
          <w:szCs w:val="48"/>
          <w:lang w:eastAsia="fr-FR"/>
        </w:rPr>
        <w:t xml:space="preserve"> v</w:t>
      </w:r>
      <w:r w:rsidR="006D79FE">
        <w:rPr>
          <w:rFonts w:ascii="Times New Roman" w:eastAsiaTheme="minorEastAsia" w:hAnsi="Times New Roman" w:cs="Times New Roman"/>
          <w:noProof/>
          <w:sz w:val="48"/>
          <w:szCs w:val="48"/>
          <w:lang w:eastAsia="fr-FR"/>
        </w:rPr>
        <w:t>otre prix</w:t>
      </w:r>
      <w:r>
        <w:rPr>
          <w:rFonts w:ascii="Times New Roman" w:eastAsiaTheme="minorEastAsia" w:hAnsi="Times New Roman" w:cs="Times New Roman"/>
          <w:noProof/>
          <w:sz w:val="48"/>
          <w:szCs w:val="48"/>
          <w:lang w:eastAsia="fr-FR"/>
        </w:rPr>
        <w:t xml:space="preserve"> et </w:t>
      </w:r>
      <w:r w:rsidR="00FD3986">
        <w:rPr>
          <w:rFonts w:ascii="Times New Roman" w:eastAsiaTheme="minorEastAsia" w:hAnsi="Times New Roman" w:cs="Times New Roman"/>
          <w:noProof/>
          <w:sz w:val="48"/>
          <w:szCs w:val="48"/>
          <w:lang w:eastAsia="fr-FR"/>
        </w:rPr>
        <w:t>une note</w:t>
      </w:r>
    </w:p>
    <w:p w14:paraId="0A4FA270" w14:textId="2CE2904C" w:rsidR="00DA331A" w:rsidRPr="00416DBC" w:rsidRDefault="006D79FE" w:rsidP="004360D0">
      <w:pPr>
        <w:jc w:val="center"/>
        <w:rPr>
          <w:rFonts w:ascii="Times New Roman" w:eastAsiaTheme="minorEastAsia" w:hAnsi="Times New Roman" w:cs="Times New Roman"/>
          <w:noProof/>
          <w:sz w:val="48"/>
          <w:szCs w:val="48"/>
          <w:lang w:eastAsia="fr-FR"/>
        </w:rPr>
      </w:pPr>
      <w:r>
        <w:rPr>
          <w:rFonts w:ascii="Times New Roman" w:eastAsiaTheme="minorEastAsia" w:hAnsi="Times New Roman" w:cs="Times New Roman"/>
          <w:noProof/>
          <w:sz w:val="48"/>
          <w:szCs w:val="48"/>
          <w:lang w:eastAsia="fr-FR"/>
        </w:rPr>
        <w:t xml:space="preserve"> </w:t>
      </w:r>
    </w:p>
    <w:p w14:paraId="76217DFC" w14:textId="77777777" w:rsidR="00E04965" w:rsidRPr="000F4DE7" w:rsidRDefault="00E04965" w:rsidP="00E04965">
      <w:pPr>
        <w:jc w:val="center"/>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216"/>
        <w:gridCol w:w="2027"/>
        <w:gridCol w:w="2534"/>
        <w:gridCol w:w="1614"/>
        <w:gridCol w:w="1606"/>
        <w:gridCol w:w="1459"/>
      </w:tblGrid>
      <w:tr w:rsidR="00207AAC" w14:paraId="33D7A24E" w14:textId="77777777" w:rsidTr="0043496C">
        <w:tc>
          <w:tcPr>
            <w:tcW w:w="1555" w:type="dxa"/>
          </w:tcPr>
          <w:p w14:paraId="7C16C6C4" w14:textId="1783E4FC" w:rsidR="00E04965" w:rsidRDefault="00E04965" w:rsidP="00E04965">
            <w:pPr>
              <w:jc w:val="center"/>
              <w:rPr>
                <w:rFonts w:ascii="Times New Roman" w:hAnsi="Times New Roman" w:cs="Times New Roman"/>
                <w:sz w:val="48"/>
                <w:szCs w:val="48"/>
              </w:rPr>
            </w:pPr>
          </w:p>
        </w:tc>
        <w:tc>
          <w:tcPr>
            <w:tcW w:w="2976" w:type="dxa"/>
          </w:tcPr>
          <w:p w14:paraId="10D434FB" w14:textId="3976E1C7" w:rsidR="006D79FE" w:rsidRDefault="006D79FE" w:rsidP="00E04965">
            <w:pPr>
              <w:jc w:val="center"/>
              <w:rPr>
                <w:rFonts w:ascii="Times New Roman" w:hAnsi="Times New Roman" w:cs="Times New Roman"/>
                <w:sz w:val="48"/>
                <w:szCs w:val="48"/>
              </w:rPr>
            </w:pPr>
          </w:p>
        </w:tc>
        <w:tc>
          <w:tcPr>
            <w:tcW w:w="3544" w:type="dxa"/>
          </w:tcPr>
          <w:p w14:paraId="38014AB0" w14:textId="0488E670" w:rsidR="00317047" w:rsidRDefault="00317047" w:rsidP="00385C27">
            <w:pPr>
              <w:jc w:val="center"/>
              <w:rPr>
                <w:rFonts w:ascii="Times New Roman" w:hAnsi="Times New Roman" w:cs="Times New Roman"/>
                <w:sz w:val="48"/>
                <w:szCs w:val="48"/>
              </w:rPr>
            </w:pPr>
          </w:p>
        </w:tc>
        <w:tc>
          <w:tcPr>
            <w:tcW w:w="1985" w:type="dxa"/>
          </w:tcPr>
          <w:p w14:paraId="249B230C" w14:textId="2DDF7A15" w:rsidR="004360D0" w:rsidRDefault="00DA331A" w:rsidP="00E04965">
            <w:pPr>
              <w:jc w:val="center"/>
              <w:rPr>
                <w:rFonts w:ascii="Times New Roman" w:hAnsi="Times New Roman" w:cs="Times New Roman"/>
                <w:sz w:val="48"/>
                <w:szCs w:val="48"/>
              </w:rPr>
            </w:pPr>
            <w:r>
              <w:rPr>
                <w:rFonts w:ascii="Times New Roman" w:hAnsi="Times New Roman" w:cs="Times New Roman"/>
                <w:sz w:val="48"/>
                <w:szCs w:val="48"/>
              </w:rPr>
              <w:t>Votre prix</w:t>
            </w:r>
          </w:p>
        </w:tc>
        <w:tc>
          <w:tcPr>
            <w:tcW w:w="1984" w:type="dxa"/>
          </w:tcPr>
          <w:p w14:paraId="6E9C466B" w14:textId="474315BC" w:rsidR="00E04965" w:rsidRDefault="00DA331A" w:rsidP="00E04965">
            <w:pPr>
              <w:jc w:val="center"/>
              <w:rPr>
                <w:rFonts w:ascii="Times New Roman" w:hAnsi="Times New Roman" w:cs="Times New Roman"/>
                <w:sz w:val="48"/>
                <w:szCs w:val="48"/>
              </w:rPr>
            </w:pPr>
            <w:r>
              <w:rPr>
                <w:rFonts w:ascii="Times New Roman" w:hAnsi="Times New Roman" w:cs="Times New Roman"/>
                <w:sz w:val="48"/>
                <w:szCs w:val="48"/>
              </w:rPr>
              <w:t>Le vrai prix</w:t>
            </w:r>
          </w:p>
        </w:tc>
        <w:tc>
          <w:tcPr>
            <w:tcW w:w="1950" w:type="dxa"/>
          </w:tcPr>
          <w:p w14:paraId="0CE97EE3" w14:textId="77777777" w:rsidR="00957AE4" w:rsidRDefault="00957AE4" w:rsidP="00E04965">
            <w:pPr>
              <w:jc w:val="center"/>
              <w:rPr>
                <w:rFonts w:ascii="Times New Roman" w:hAnsi="Times New Roman" w:cs="Times New Roman"/>
                <w:sz w:val="48"/>
                <w:szCs w:val="48"/>
              </w:rPr>
            </w:pPr>
            <w:r>
              <w:rPr>
                <w:rFonts w:ascii="Times New Roman" w:hAnsi="Times New Roman" w:cs="Times New Roman"/>
                <w:sz w:val="48"/>
                <w:szCs w:val="48"/>
              </w:rPr>
              <w:t>Not</w:t>
            </w:r>
          </w:p>
          <w:p w14:paraId="7C466683" w14:textId="79CA7A23" w:rsidR="00146AFA" w:rsidRDefault="00957AE4" w:rsidP="00E04965">
            <w:pPr>
              <w:jc w:val="center"/>
              <w:rPr>
                <w:rFonts w:ascii="Times New Roman" w:hAnsi="Times New Roman" w:cs="Times New Roman"/>
                <w:sz w:val="48"/>
                <w:szCs w:val="48"/>
              </w:rPr>
            </w:pPr>
            <w:r>
              <w:rPr>
                <w:rFonts w:ascii="Times New Roman" w:hAnsi="Times New Roman" w:cs="Times New Roman"/>
                <w:sz w:val="48"/>
                <w:szCs w:val="48"/>
              </w:rPr>
              <w:t>/ 20</w:t>
            </w:r>
          </w:p>
        </w:tc>
      </w:tr>
      <w:tr w:rsidR="00207AAC" w14:paraId="609D0C47" w14:textId="77777777" w:rsidTr="0043496C">
        <w:tc>
          <w:tcPr>
            <w:tcW w:w="1555" w:type="dxa"/>
          </w:tcPr>
          <w:p w14:paraId="70DD09F4" w14:textId="77777777" w:rsidR="00385D15" w:rsidRDefault="00385D15" w:rsidP="00A058FA">
            <w:pPr>
              <w:jc w:val="center"/>
              <w:rPr>
                <w:rFonts w:ascii="Times New Roman" w:hAnsi="Times New Roman" w:cs="Times New Roman"/>
                <w:sz w:val="48"/>
                <w:szCs w:val="48"/>
              </w:rPr>
            </w:pPr>
            <w:r>
              <w:rPr>
                <w:rFonts w:ascii="Times New Roman" w:hAnsi="Times New Roman" w:cs="Times New Roman"/>
                <w:sz w:val="48"/>
                <w:szCs w:val="48"/>
              </w:rPr>
              <w:t>Vin 1</w:t>
            </w:r>
          </w:p>
          <w:p w14:paraId="4723DF2B" w14:textId="26038A4A" w:rsidR="0052216F" w:rsidRDefault="0052216F" w:rsidP="00A058FA">
            <w:pPr>
              <w:jc w:val="center"/>
              <w:rPr>
                <w:rFonts w:ascii="Times New Roman" w:hAnsi="Times New Roman" w:cs="Times New Roman"/>
                <w:sz w:val="48"/>
                <w:szCs w:val="48"/>
              </w:rPr>
            </w:pPr>
          </w:p>
        </w:tc>
        <w:tc>
          <w:tcPr>
            <w:tcW w:w="2976" w:type="dxa"/>
          </w:tcPr>
          <w:p w14:paraId="2A431337" w14:textId="77777777" w:rsidR="00385D15" w:rsidRDefault="00385C27" w:rsidP="00E04965">
            <w:pPr>
              <w:jc w:val="center"/>
              <w:rPr>
                <w:rFonts w:ascii="Times New Roman" w:hAnsi="Times New Roman" w:cs="Times New Roman"/>
                <w:sz w:val="48"/>
                <w:szCs w:val="48"/>
              </w:rPr>
            </w:pPr>
            <w:r>
              <w:rPr>
                <w:rFonts w:ascii="Times New Roman" w:hAnsi="Times New Roman" w:cs="Times New Roman"/>
                <w:sz w:val="48"/>
                <w:szCs w:val="48"/>
              </w:rPr>
              <w:t>2021</w:t>
            </w:r>
          </w:p>
          <w:p w14:paraId="46354339" w14:textId="01630B9E" w:rsidR="00385C27" w:rsidRDefault="00385C27" w:rsidP="00E04965">
            <w:pPr>
              <w:jc w:val="center"/>
              <w:rPr>
                <w:rFonts w:ascii="Times New Roman" w:hAnsi="Times New Roman" w:cs="Times New Roman"/>
                <w:sz w:val="48"/>
                <w:szCs w:val="48"/>
              </w:rPr>
            </w:pPr>
            <w:r>
              <w:rPr>
                <w:rFonts w:ascii="Times New Roman" w:hAnsi="Times New Roman" w:cs="Times New Roman"/>
                <w:sz w:val="48"/>
                <w:szCs w:val="48"/>
              </w:rPr>
              <w:t>13°</w:t>
            </w:r>
          </w:p>
        </w:tc>
        <w:tc>
          <w:tcPr>
            <w:tcW w:w="3544" w:type="dxa"/>
          </w:tcPr>
          <w:p w14:paraId="1A7DA15B" w14:textId="77777777" w:rsidR="000F5C0B" w:rsidRDefault="00385C27" w:rsidP="00E04965">
            <w:pPr>
              <w:jc w:val="center"/>
              <w:rPr>
                <w:rFonts w:ascii="Times New Roman" w:hAnsi="Times New Roman" w:cs="Times New Roman"/>
                <w:sz w:val="40"/>
                <w:szCs w:val="40"/>
              </w:rPr>
            </w:pPr>
            <w:r>
              <w:rPr>
                <w:rFonts w:ascii="Times New Roman" w:hAnsi="Times New Roman" w:cs="Times New Roman"/>
                <w:sz w:val="40"/>
                <w:szCs w:val="40"/>
              </w:rPr>
              <w:t>Côte de Provence</w:t>
            </w:r>
          </w:p>
          <w:p w14:paraId="0460A9F1" w14:textId="5FD29024" w:rsidR="00612874" w:rsidRPr="00317047" w:rsidRDefault="00612874" w:rsidP="00E04965">
            <w:pPr>
              <w:jc w:val="center"/>
              <w:rPr>
                <w:rFonts w:ascii="Times New Roman" w:hAnsi="Times New Roman" w:cs="Times New Roman"/>
                <w:sz w:val="40"/>
                <w:szCs w:val="40"/>
              </w:rPr>
            </w:pPr>
            <w:r>
              <w:rPr>
                <w:rFonts w:ascii="Times New Roman" w:hAnsi="Times New Roman" w:cs="Times New Roman"/>
                <w:sz w:val="40"/>
                <w:szCs w:val="40"/>
              </w:rPr>
              <w:t>Sainte Victoire</w:t>
            </w:r>
          </w:p>
        </w:tc>
        <w:tc>
          <w:tcPr>
            <w:tcW w:w="1985" w:type="dxa"/>
          </w:tcPr>
          <w:p w14:paraId="49F4BAE6" w14:textId="77777777" w:rsidR="00385D15" w:rsidRDefault="00385D15" w:rsidP="00E04965">
            <w:pPr>
              <w:jc w:val="center"/>
              <w:rPr>
                <w:rFonts w:ascii="Times New Roman" w:hAnsi="Times New Roman" w:cs="Times New Roman"/>
                <w:sz w:val="48"/>
                <w:szCs w:val="48"/>
              </w:rPr>
            </w:pPr>
          </w:p>
          <w:p w14:paraId="0B6439ED" w14:textId="6E32F6A7" w:rsidR="00957AE4" w:rsidRDefault="00957AE4" w:rsidP="00E04965">
            <w:pPr>
              <w:jc w:val="center"/>
              <w:rPr>
                <w:rFonts w:ascii="Times New Roman" w:hAnsi="Times New Roman" w:cs="Times New Roman"/>
                <w:sz w:val="48"/>
                <w:szCs w:val="48"/>
              </w:rPr>
            </w:pPr>
            <w:r>
              <w:rPr>
                <w:rFonts w:ascii="Times New Roman" w:hAnsi="Times New Roman" w:cs="Times New Roman"/>
                <w:sz w:val="48"/>
                <w:szCs w:val="48"/>
              </w:rPr>
              <w:t>8,00</w:t>
            </w:r>
          </w:p>
        </w:tc>
        <w:tc>
          <w:tcPr>
            <w:tcW w:w="1984" w:type="dxa"/>
          </w:tcPr>
          <w:p w14:paraId="269F412C" w14:textId="77777777" w:rsidR="00957AE4" w:rsidRDefault="00957AE4" w:rsidP="00E04965">
            <w:pPr>
              <w:jc w:val="center"/>
              <w:rPr>
                <w:rFonts w:ascii="Times New Roman" w:hAnsi="Times New Roman" w:cs="Times New Roman"/>
                <w:sz w:val="48"/>
                <w:szCs w:val="48"/>
              </w:rPr>
            </w:pPr>
          </w:p>
          <w:p w14:paraId="18732AFE" w14:textId="5056A25A" w:rsidR="00385D15" w:rsidRDefault="00FF6DCA" w:rsidP="00E04965">
            <w:pPr>
              <w:jc w:val="center"/>
              <w:rPr>
                <w:rFonts w:ascii="Times New Roman" w:hAnsi="Times New Roman" w:cs="Times New Roman"/>
                <w:sz w:val="48"/>
                <w:szCs w:val="48"/>
              </w:rPr>
            </w:pPr>
            <w:r>
              <w:rPr>
                <w:rFonts w:ascii="Times New Roman" w:hAnsi="Times New Roman" w:cs="Times New Roman"/>
                <w:sz w:val="48"/>
                <w:szCs w:val="48"/>
              </w:rPr>
              <w:t>7,99</w:t>
            </w:r>
          </w:p>
          <w:p w14:paraId="1F0EF57E" w14:textId="1545048E" w:rsidR="00385C27" w:rsidRDefault="00385C27" w:rsidP="00E04965">
            <w:pPr>
              <w:jc w:val="center"/>
              <w:rPr>
                <w:rFonts w:ascii="Times New Roman" w:hAnsi="Times New Roman" w:cs="Times New Roman"/>
                <w:sz w:val="48"/>
                <w:szCs w:val="48"/>
              </w:rPr>
            </w:pPr>
          </w:p>
        </w:tc>
        <w:tc>
          <w:tcPr>
            <w:tcW w:w="1950" w:type="dxa"/>
          </w:tcPr>
          <w:p w14:paraId="0DE24D44" w14:textId="77777777" w:rsidR="00385D15" w:rsidRDefault="00385D15" w:rsidP="00E04965">
            <w:pPr>
              <w:jc w:val="center"/>
              <w:rPr>
                <w:rFonts w:ascii="Times New Roman" w:hAnsi="Times New Roman" w:cs="Times New Roman"/>
                <w:sz w:val="48"/>
                <w:szCs w:val="48"/>
              </w:rPr>
            </w:pPr>
          </w:p>
          <w:p w14:paraId="1BECA5B0" w14:textId="0DA7466C" w:rsidR="00957AE4" w:rsidRDefault="00957AE4" w:rsidP="00E04965">
            <w:pPr>
              <w:jc w:val="center"/>
              <w:rPr>
                <w:rFonts w:ascii="Times New Roman" w:hAnsi="Times New Roman" w:cs="Times New Roman"/>
                <w:sz w:val="48"/>
                <w:szCs w:val="48"/>
              </w:rPr>
            </w:pPr>
            <w:r>
              <w:rPr>
                <w:rFonts w:ascii="Times New Roman" w:hAnsi="Times New Roman" w:cs="Times New Roman"/>
                <w:sz w:val="48"/>
                <w:szCs w:val="48"/>
              </w:rPr>
              <w:t>13,5</w:t>
            </w:r>
          </w:p>
        </w:tc>
      </w:tr>
      <w:tr w:rsidR="00207AAC" w14:paraId="53B4F6A9" w14:textId="77777777" w:rsidTr="0043496C">
        <w:tc>
          <w:tcPr>
            <w:tcW w:w="1555" w:type="dxa"/>
          </w:tcPr>
          <w:p w14:paraId="59136FFE" w14:textId="77777777" w:rsidR="00E04965" w:rsidRDefault="00E04965" w:rsidP="00E04965">
            <w:pPr>
              <w:jc w:val="center"/>
              <w:rPr>
                <w:rFonts w:ascii="Times New Roman" w:hAnsi="Times New Roman" w:cs="Times New Roman"/>
                <w:sz w:val="48"/>
                <w:szCs w:val="48"/>
              </w:rPr>
            </w:pPr>
            <w:r>
              <w:rPr>
                <w:rFonts w:ascii="Times New Roman" w:hAnsi="Times New Roman" w:cs="Times New Roman"/>
                <w:sz w:val="48"/>
                <w:szCs w:val="48"/>
              </w:rPr>
              <w:t>Vin 2</w:t>
            </w:r>
          </w:p>
          <w:p w14:paraId="727A67C5" w14:textId="6AD3C402" w:rsidR="0052216F" w:rsidRDefault="0052216F" w:rsidP="00E04965">
            <w:pPr>
              <w:jc w:val="center"/>
              <w:rPr>
                <w:rFonts w:ascii="Times New Roman" w:hAnsi="Times New Roman" w:cs="Times New Roman"/>
                <w:sz w:val="48"/>
                <w:szCs w:val="48"/>
              </w:rPr>
            </w:pPr>
          </w:p>
        </w:tc>
        <w:tc>
          <w:tcPr>
            <w:tcW w:w="2976" w:type="dxa"/>
          </w:tcPr>
          <w:p w14:paraId="5AFB149D" w14:textId="77777777" w:rsidR="00E04965" w:rsidRDefault="00385C27" w:rsidP="00E04965">
            <w:pPr>
              <w:jc w:val="center"/>
              <w:rPr>
                <w:rFonts w:ascii="Times New Roman" w:hAnsi="Times New Roman" w:cs="Times New Roman"/>
                <w:sz w:val="48"/>
                <w:szCs w:val="48"/>
              </w:rPr>
            </w:pPr>
            <w:r>
              <w:rPr>
                <w:rFonts w:ascii="Times New Roman" w:hAnsi="Times New Roman" w:cs="Times New Roman"/>
                <w:sz w:val="48"/>
                <w:szCs w:val="48"/>
              </w:rPr>
              <w:t>2020</w:t>
            </w:r>
          </w:p>
          <w:p w14:paraId="5CEBDDCF" w14:textId="418D0288" w:rsidR="00385C27" w:rsidRDefault="00385C27" w:rsidP="00E04965">
            <w:pPr>
              <w:jc w:val="center"/>
              <w:rPr>
                <w:rFonts w:ascii="Times New Roman" w:hAnsi="Times New Roman" w:cs="Times New Roman"/>
                <w:sz w:val="48"/>
                <w:szCs w:val="48"/>
              </w:rPr>
            </w:pPr>
            <w:r>
              <w:rPr>
                <w:rFonts w:ascii="Times New Roman" w:hAnsi="Times New Roman" w:cs="Times New Roman"/>
                <w:sz w:val="48"/>
                <w:szCs w:val="48"/>
              </w:rPr>
              <w:t>13°</w:t>
            </w:r>
          </w:p>
        </w:tc>
        <w:tc>
          <w:tcPr>
            <w:tcW w:w="3544" w:type="dxa"/>
          </w:tcPr>
          <w:p w14:paraId="5FA9481B" w14:textId="7AEB8C6B" w:rsidR="00317047" w:rsidRPr="00317047" w:rsidRDefault="00385C27" w:rsidP="00E04965">
            <w:pPr>
              <w:jc w:val="center"/>
              <w:rPr>
                <w:rFonts w:ascii="Times New Roman" w:hAnsi="Times New Roman" w:cs="Times New Roman"/>
                <w:sz w:val="40"/>
                <w:szCs w:val="40"/>
              </w:rPr>
            </w:pPr>
            <w:r>
              <w:rPr>
                <w:rFonts w:ascii="Times New Roman" w:hAnsi="Times New Roman" w:cs="Times New Roman"/>
                <w:sz w:val="40"/>
                <w:szCs w:val="40"/>
              </w:rPr>
              <w:t>Bandol</w:t>
            </w:r>
          </w:p>
        </w:tc>
        <w:tc>
          <w:tcPr>
            <w:tcW w:w="1985" w:type="dxa"/>
          </w:tcPr>
          <w:p w14:paraId="4C47338D" w14:textId="77777777" w:rsidR="00E04965" w:rsidRDefault="00E04965" w:rsidP="00E04965">
            <w:pPr>
              <w:jc w:val="center"/>
              <w:rPr>
                <w:rFonts w:ascii="Times New Roman" w:hAnsi="Times New Roman" w:cs="Times New Roman"/>
                <w:sz w:val="48"/>
                <w:szCs w:val="48"/>
              </w:rPr>
            </w:pPr>
          </w:p>
          <w:p w14:paraId="7C4021F3" w14:textId="3A2AE035" w:rsidR="00957AE4" w:rsidRDefault="00957AE4" w:rsidP="00E04965">
            <w:pPr>
              <w:jc w:val="center"/>
              <w:rPr>
                <w:rFonts w:ascii="Times New Roman" w:hAnsi="Times New Roman" w:cs="Times New Roman"/>
                <w:sz w:val="48"/>
                <w:szCs w:val="48"/>
              </w:rPr>
            </w:pPr>
            <w:r>
              <w:rPr>
                <w:rFonts w:ascii="Times New Roman" w:hAnsi="Times New Roman" w:cs="Times New Roman"/>
                <w:sz w:val="48"/>
                <w:szCs w:val="48"/>
              </w:rPr>
              <w:t>12,00</w:t>
            </w:r>
          </w:p>
        </w:tc>
        <w:tc>
          <w:tcPr>
            <w:tcW w:w="1984" w:type="dxa"/>
          </w:tcPr>
          <w:p w14:paraId="33EDA12B" w14:textId="77777777" w:rsidR="00957AE4" w:rsidRDefault="00957AE4" w:rsidP="00E04965">
            <w:pPr>
              <w:jc w:val="center"/>
              <w:rPr>
                <w:rFonts w:ascii="Times New Roman" w:hAnsi="Times New Roman" w:cs="Times New Roman"/>
                <w:sz w:val="48"/>
                <w:szCs w:val="48"/>
              </w:rPr>
            </w:pPr>
          </w:p>
          <w:p w14:paraId="436367EE" w14:textId="4693ECBB" w:rsidR="00E04965" w:rsidRDefault="00385C27" w:rsidP="00E04965">
            <w:pPr>
              <w:jc w:val="center"/>
              <w:rPr>
                <w:rFonts w:ascii="Times New Roman" w:hAnsi="Times New Roman" w:cs="Times New Roman"/>
                <w:sz w:val="48"/>
                <w:szCs w:val="48"/>
              </w:rPr>
            </w:pPr>
            <w:r>
              <w:rPr>
                <w:rFonts w:ascii="Times New Roman" w:hAnsi="Times New Roman" w:cs="Times New Roman"/>
                <w:sz w:val="48"/>
                <w:szCs w:val="48"/>
              </w:rPr>
              <w:t>9,89</w:t>
            </w:r>
          </w:p>
        </w:tc>
        <w:tc>
          <w:tcPr>
            <w:tcW w:w="1950" w:type="dxa"/>
          </w:tcPr>
          <w:p w14:paraId="70373CCB" w14:textId="77777777" w:rsidR="00957AE4" w:rsidRDefault="00957AE4" w:rsidP="00E04965">
            <w:pPr>
              <w:jc w:val="center"/>
              <w:rPr>
                <w:rFonts w:ascii="Times New Roman" w:hAnsi="Times New Roman" w:cs="Times New Roman"/>
                <w:sz w:val="48"/>
                <w:szCs w:val="48"/>
              </w:rPr>
            </w:pPr>
          </w:p>
          <w:p w14:paraId="5796EAA7" w14:textId="3F3F0889" w:rsidR="00E04965" w:rsidRDefault="00957AE4" w:rsidP="00E04965">
            <w:pPr>
              <w:jc w:val="center"/>
              <w:rPr>
                <w:rFonts w:ascii="Times New Roman" w:hAnsi="Times New Roman" w:cs="Times New Roman"/>
                <w:sz w:val="48"/>
                <w:szCs w:val="48"/>
              </w:rPr>
            </w:pPr>
            <w:r>
              <w:rPr>
                <w:rFonts w:ascii="Times New Roman" w:hAnsi="Times New Roman" w:cs="Times New Roman"/>
                <w:sz w:val="48"/>
                <w:szCs w:val="48"/>
              </w:rPr>
              <w:t>16</w:t>
            </w:r>
          </w:p>
        </w:tc>
      </w:tr>
      <w:tr w:rsidR="00207AAC" w14:paraId="2CD26F60" w14:textId="77777777" w:rsidTr="0043496C">
        <w:tc>
          <w:tcPr>
            <w:tcW w:w="1555" w:type="dxa"/>
          </w:tcPr>
          <w:p w14:paraId="29BFE253" w14:textId="77777777" w:rsidR="00E04965" w:rsidRDefault="00E04965" w:rsidP="00E04965">
            <w:pPr>
              <w:jc w:val="center"/>
              <w:rPr>
                <w:rFonts w:ascii="Times New Roman" w:hAnsi="Times New Roman" w:cs="Times New Roman"/>
                <w:sz w:val="48"/>
                <w:szCs w:val="48"/>
              </w:rPr>
            </w:pPr>
            <w:r>
              <w:rPr>
                <w:rFonts w:ascii="Times New Roman" w:hAnsi="Times New Roman" w:cs="Times New Roman"/>
                <w:sz w:val="48"/>
                <w:szCs w:val="48"/>
              </w:rPr>
              <w:t>Vin 3</w:t>
            </w:r>
          </w:p>
          <w:p w14:paraId="6067A41C" w14:textId="59BC596F" w:rsidR="0052216F" w:rsidRDefault="0052216F" w:rsidP="00E04965">
            <w:pPr>
              <w:jc w:val="center"/>
              <w:rPr>
                <w:rFonts w:ascii="Times New Roman" w:hAnsi="Times New Roman" w:cs="Times New Roman"/>
                <w:sz w:val="48"/>
                <w:szCs w:val="48"/>
              </w:rPr>
            </w:pPr>
          </w:p>
        </w:tc>
        <w:tc>
          <w:tcPr>
            <w:tcW w:w="2976" w:type="dxa"/>
          </w:tcPr>
          <w:p w14:paraId="0527F556" w14:textId="77777777" w:rsidR="00E04965" w:rsidRDefault="00385C27" w:rsidP="00E04965">
            <w:pPr>
              <w:jc w:val="center"/>
              <w:rPr>
                <w:rFonts w:ascii="Times New Roman" w:hAnsi="Times New Roman" w:cs="Times New Roman"/>
                <w:sz w:val="48"/>
                <w:szCs w:val="48"/>
              </w:rPr>
            </w:pPr>
            <w:r>
              <w:rPr>
                <w:rFonts w:ascii="Times New Roman" w:hAnsi="Times New Roman" w:cs="Times New Roman"/>
                <w:sz w:val="48"/>
                <w:szCs w:val="48"/>
              </w:rPr>
              <w:t>2020</w:t>
            </w:r>
          </w:p>
          <w:p w14:paraId="030FA389" w14:textId="729D22B9" w:rsidR="00385C27" w:rsidRDefault="00385C27" w:rsidP="00E04965">
            <w:pPr>
              <w:jc w:val="center"/>
              <w:rPr>
                <w:rFonts w:ascii="Times New Roman" w:hAnsi="Times New Roman" w:cs="Times New Roman"/>
                <w:sz w:val="48"/>
                <w:szCs w:val="48"/>
              </w:rPr>
            </w:pPr>
            <w:r>
              <w:rPr>
                <w:rFonts w:ascii="Times New Roman" w:hAnsi="Times New Roman" w:cs="Times New Roman"/>
                <w:sz w:val="48"/>
                <w:szCs w:val="48"/>
              </w:rPr>
              <w:t>13,5°</w:t>
            </w:r>
          </w:p>
        </w:tc>
        <w:tc>
          <w:tcPr>
            <w:tcW w:w="3544" w:type="dxa"/>
          </w:tcPr>
          <w:p w14:paraId="0A017EB0" w14:textId="6AA154CB" w:rsidR="00317047" w:rsidRPr="00317047" w:rsidRDefault="00385C27" w:rsidP="00E04965">
            <w:pPr>
              <w:jc w:val="center"/>
              <w:rPr>
                <w:rFonts w:ascii="Times New Roman" w:hAnsi="Times New Roman" w:cs="Times New Roman"/>
                <w:sz w:val="40"/>
                <w:szCs w:val="40"/>
              </w:rPr>
            </w:pPr>
            <w:r>
              <w:rPr>
                <w:rFonts w:ascii="Times New Roman" w:hAnsi="Times New Roman" w:cs="Times New Roman"/>
                <w:sz w:val="40"/>
                <w:szCs w:val="40"/>
              </w:rPr>
              <w:t>Tavel</w:t>
            </w:r>
          </w:p>
        </w:tc>
        <w:tc>
          <w:tcPr>
            <w:tcW w:w="1985" w:type="dxa"/>
          </w:tcPr>
          <w:p w14:paraId="795CF9D0" w14:textId="77777777" w:rsidR="00E04965" w:rsidRDefault="00E04965" w:rsidP="00E04965">
            <w:pPr>
              <w:jc w:val="center"/>
              <w:rPr>
                <w:rFonts w:ascii="Times New Roman" w:hAnsi="Times New Roman" w:cs="Times New Roman"/>
                <w:sz w:val="48"/>
                <w:szCs w:val="48"/>
              </w:rPr>
            </w:pPr>
          </w:p>
          <w:p w14:paraId="7665D717" w14:textId="3F8E7445" w:rsidR="00957AE4" w:rsidRDefault="00957AE4" w:rsidP="00E04965">
            <w:pPr>
              <w:jc w:val="center"/>
              <w:rPr>
                <w:rFonts w:ascii="Times New Roman" w:hAnsi="Times New Roman" w:cs="Times New Roman"/>
                <w:sz w:val="48"/>
                <w:szCs w:val="48"/>
              </w:rPr>
            </w:pPr>
            <w:r>
              <w:rPr>
                <w:rFonts w:ascii="Times New Roman" w:hAnsi="Times New Roman" w:cs="Times New Roman"/>
                <w:sz w:val="48"/>
                <w:szCs w:val="48"/>
              </w:rPr>
              <w:t>12,00</w:t>
            </w:r>
          </w:p>
        </w:tc>
        <w:tc>
          <w:tcPr>
            <w:tcW w:w="1984" w:type="dxa"/>
          </w:tcPr>
          <w:p w14:paraId="21ECD177" w14:textId="77777777" w:rsidR="00957AE4" w:rsidRDefault="00957AE4" w:rsidP="00E04965">
            <w:pPr>
              <w:jc w:val="center"/>
              <w:rPr>
                <w:rFonts w:ascii="Times New Roman" w:hAnsi="Times New Roman" w:cs="Times New Roman"/>
                <w:sz w:val="48"/>
                <w:szCs w:val="48"/>
              </w:rPr>
            </w:pPr>
          </w:p>
          <w:p w14:paraId="3BF9842F" w14:textId="3E4CC34A" w:rsidR="00E04965" w:rsidRDefault="00385C27" w:rsidP="00E04965">
            <w:pPr>
              <w:jc w:val="center"/>
              <w:rPr>
                <w:rFonts w:ascii="Times New Roman" w:hAnsi="Times New Roman" w:cs="Times New Roman"/>
                <w:sz w:val="48"/>
                <w:szCs w:val="48"/>
              </w:rPr>
            </w:pPr>
            <w:r>
              <w:rPr>
                <w:rFonts w:ascii="Times New Roman" w:hAnsi="Times New Roman" w:cs="Times New Roman"/>
                <w:sz w:val="48"/>
                <w:szCs w:val="48"/>
              </w:rPr>
              <w:t>8,99</w:t>
            </w:r>
          </w:p>
        </w:tc>
        <w:tc>
          <w:tcPr>
            <w:tcW w:w="1950" w:type="dxa"/>
          </w:tcPr>
          <w:p w14:paraId="1E6BB8DA" w14:textId="77777777" w:rsidR="00957AE4" w:rsidRDefault="00957AE4" w:rsidP="00E04965">
            <w:pPr>
              <w:jc w:val="center"/>
              <w:rPr>
                <w:rFonts w:ascii="Times New Roman" w:hAnsi="Times New Roman" w:cs="Times New Roman"/>
                <w:sz w:val="48"/>
                <w:szCs w:val="48"/>
              </w:rPr>
            </w:pPr>
          </w:p>
          <w:p w14:paraId="6E50CCEC" w14:textId="0060D8D9" w:rsidR="00E04965" w:rsidRDefault="00957AE4" w:rsidP="00E04965">
            <w:pPr>
              <w:jc w:val="center"/>
              <w:rPr>
                <w:rFonts w:ascii="Times New Roman" w:hAnsi="Times New Roman" w:cs="Times New Roman"/>
                <w:sz w:val="48"/>
                <w:szCs w:val="48"/>
              </w:rPr>
            </w:pPr>
            <w:r>
              <w:rPr>
                <w:rFonts w:ascii="Times New Roman" w:hAnsi="Times New Roman" w:cs="Times New Roman"/>
                <w:sz w:val="48"/>
                <w:szCs w:val="48"/>
              </w:rPr>
              <w:t>12</w:t>
            </w:r>
          </w:p>
        </w:tc>
      </w:tr>
      <w:tr w:rsidR="00207AAC" w14:paraId="015F6032" w14:textId="77777777" w:rsidTr="0043496C">
        <w:tc>
          <w:tcPr>
            <w:tcW w:w="1555" w:type="dxa"/>
          </w:tcPr>
          <w:p w14:paraId="402E81D0" w14:textId="77777777" w:rsidR="00385D15" w:rsidRDefault="00E04965" w:rsidP="00385D15">
            <w:pPr>
              <w:jc w:val="center"/>
              <w:rPr>
                <w:rFonts w:ascii="Times New Roman" w:hAnsi="Times New Roman" w:cs="Times New Roman"/>
                <w:sz w:val="48"/>
                <w:szCs w:val="48"/>
              </w:rPr>
            </w:pPr>
            <w:r>
              <w:rPr>
                <w:rFonts w:ascii="Times New Roman" w:hAnsi="Times New Roman" w:cs="Times New Roman"/>
                <w:sz w:val="48"/>
                <w:szCs w:val="48"/>
              </w:rPr>
              <w:t>Vin 4</w:t>
            </w:r>
          </w:p>
          <w:p w14:paraId="2007703F" w14:textId="415A4C50" w:rsidR="0052216F" w:rsidRDefault="0052216F" w:rsidP="00385D15">
            <w:pPr>
              <w:jc w:val="center"/>
              <w:rPr>
                <w:rFonts w:ascii="Times New Roman" w:hAnsi="Times New Roman" w:cs="Times New Roman"/>
                <w:sz w:val="48"/>
                <w:szCs w:val="48"/>
              </w:rPr>
            </w:pPr>
          </w:p>
        </w:tc>
        <w:tc>
          <w:tcPr>
            <w:tcW w:w="2976" w:type="dxa"/>
          </w:tcPr>
          <w:p w14:paraId="47C8EC35" w14:textId="77777777" w:rsidR="00E04965" w:rsidRDefault="00385C27" w:rsidP="00E04965">
            <w:pPr>
              <w:jc w:val="center"/>
              <w:rPr>
                <w:rFonts w:ascii="Times New Roman" w:hAnsi="Times New Roman" w:cs="Times New Roman"/>
                <w:sz w:val="48"/>
                <w:szCs w:val="48"/>
              </w:rPr>
            </w:pPr>
            <w:r>
              <w:rPr>
                <w:rFonts w:ascii="Times New Roman" w:hAnsi="Times New Roman" w:cs="Times New Roman"/>
                <w:sz w:val="48"/>
                <w:szCs w:val="48"/>
              </w:rPr>
              <w:t>2021</w:t>
            </w:r>
          </w:p>
          <w:p w14:paraId="5869E778" w14:textId="7105D593" w:rsidR="00385C27" w:rsidRDefault="00385C27" w:rsidP="00E04965">
            <w:pPr>
              <w:jc w:val="center"/>
              <w:rPr>
                <w:rFonts w:ascii="Times New Roman" w:hAnsi="Times New Roman" w:cs="Times New Roman"/>
                <w:sz w:val="48"/>
                <w:szCs w:val="48"/>
              </w:rPr>
            </w:pPr>
            <w:r>
              <w:rPr>
                <w:rFonts w:ascii="Times New Roman" w:hAnsi="Times New Roman" w:cs="Times New Roman"/>
                <w:sz w:val="48"/>
                <w:szCs w:val="48"/>
              </w:rPr>
              <w:t>13°</w:t>
            </w:r>
          </w:p>
        </w:tc>
        <w:tc>
          <w:tcPr>
            <w:tcW w:w="3544" w:type="dxa"/>
          </w:tcPr>
          <w:p w14:paraId="71E1C47A" w14:textId="061A41FF" w:rsidR="000F5C0B" w:rsidRPr="00317047" w:rsidRDefault="00385C27" w:rsidP="00E04965">
            <w:pPr>
              <w:jc w:val="center"/>
              <w:rPr>
                <w:rFonts w:ascii="Times New Roman" w:hAnsi="Times New Roman" w:cs="Times New Roman"/>
                <w:sz w:val="40"/>
                <w:szCs w:val="40"/>
              </w:rPr>
            </w:pPr>
            <w:r>
              <w:rPr>
                <w:rFonts w:ascii="Times New Roman" w:hAnsi="Times New Roman" w:cs="Times New Roman"/>
                <w:sz w:val="40"/>
                <w:szCs w:val="40"/>
              </w:rPr>
              <w:t>Château Minuty</w:t>
            </w:r>
          </w:p>
        </w:tc>
        <w:tc>
          <w:tcPr>
            <w:tcW w:w="1985" w:type="dxa"/>
          </w:tcPr>
          <w:p w14:paraId="02197B61" w14:textId="77777777" w:rsidR="00E04965" w:rsidRDefault="00E04965" w:rsidP="00E04965">
            <w:pPr>
              <w:jc w:val="center"/>
              <w:rPr>
                <w:rFonts w:ascii="Times New Roman" w:hAnsi="Times New Roman" w:cs="Times New Roman"/>
                <w:sz w:val="48"/>
                <w:szCs w:val="48"/>
              </w:rPr>
            </w:pPr>
          </w:p>
          <w:p w14:paraId="7D3B6D02" w14:textId="12638DA4" w:rsidR="00957AE4" w:rsidRDefault="00957AE4" w:rsidP="00E04965">
            <w:pPr>
              <w:jc w:val="center"/>
              <w:rPr>
                <w:rFonts w:ascii="Times New Roman" w:hAnsi="Times New Roman" w:cs="Times New Roman"/>
                <w:sz w:val="48"/>
                <w:szCs w:val="48"/>
              </w:rPr>
            </w:pPr>
            <w:r>
              <w:rPr>
                <w:rFonts w:ascii="Times New Roman" w:hAnsi="Times New Roman" w:cs="Times New Roman"/>
                <w:sz w:val="48"/>
                <w:szCs w:val="48"/>
              </w:rPr>
              <w:t>14,00</w:t>
            </w:r>
          </w:p>
        </w:tc>
        <w:tc>
          <w:tcPr>
            <w:tcW w:w="1984" w:type="dxa"/>
          </w:tcPr>
          <w:p w14:paraId="67F9B7E9" w14:textId="77777777" w:rsidR="00957AE4" w:rsidRDefault="00957AE4" w:rsidP="00E04965">
            <w:pPr>
              <w:jc w:val="center"/>
              <w:rPr>
                <w:rFonts w:ascii="Times New Roman" w:hAnsi="Times New Roman" w:cs="Times New Roman"/>
                <w:sz w:val="48"/>
                <w:szCs w:val="48"/>
              </w:rPr>
            </w:pPr>
          </w:p>
          <w:p w14:paraId="6BD1ED1F" w14:textId="152C8512" w:rsidR="00E04965" w:rsidRDefault="00385C27" w:rsidP="00E04965">
            <w:pPr>
              <w:jc w:val="center"/>
              <w:rPr>
                <w:rFonts w:ascii="Times New Roman" w:hAnsi="Times New Roman" w:cs="Times New Roman"/>
                <w:sz w:val="48"/>
                <w:szCs w:val="48"/>
              </w:rPr>
            </w:pPr>
            <w:r>
              <w:rPr>
                <w:rFonts w:ascii="Times New Roman" w:hAnsi="Times New Roman" w:cs="Times New Roman"/>
                <w:sz w:val="48"/>
                <w:szCs w:val="48"/>
              </w:rPr>
              <w:t>14,99</w:t>
            </w:r>
          </w:p>
        </w:tc>
        <w:tc>
          <w:tcPr>
            <w:tcW w:w="1950" w:type="dxa"/>
          </w:tcPr>
          <w:p w14:paraId="6AD883D2" w14:textId="77777777" w:rsidR="00BD0F71" w:rsidRDefault="00BD0F71" w:rsidP="00D16DC1">
            <w:pPr>
              <w:jc w:val="center"/>
              <w:rPr>
                <w:rFonts w:ascii="Times New Roman" w:hAnsi="Times New Roman" w:cs="Times New Roman"/>
                <w:sz w:val="48"/>
                <w:szCs w:val="48"/>
              </w:rPr>
            </w:pPr>
          </w:p>
          <w:p w14:paraId="6F82A0CA" w14:textId="0BFE5B6C" w:rsidR="00957AE4" w:rsidRDefault="00957AE4" w:rsidP="00D16DC1">
            <w:pPr>
              <w:jc w:val="center"/>
              <w:rPr>
                <w:rFonts w:ascii="Times New Roman" w:hAnsi="Times New Roman" w:cs="Times New Roman"/>
                <w:sz w:val="48"/>
                <w:szCs w:val="48"/>
              </w:rPr>
            </w:pPr>
            <w:r>
              <w:rPr>
                <w:rFonts w:ascii="Times New Roman" w:hAnsi="Times New Roman" w:cs="Times New Roman"/>
                <w:sz w:val="48"/>
                <w:szCs w:val="48"/>
              </w:rPr>
              <w:t>14</w:t>
            </w:r>
          </w:p>
        </w:tc>
      </w:tr>
      <w:tr w:rsidR="00385C27" w14:paraId="73E70A0D" w14:textId="77777777" w:rsidTr="0043496C">
        <w:tc>
          <w:tcPr>
            <w:tcW w:w="1555" w:type="dxa"/>
          </w:tcPr>
          <w:p w14:paraId="55FCB522" w14:textId="77777777" w:rsidR="00385C27" w:rsidRDefault="00385C27" w:rsidP="00385D15">
            <w:pPr>
              <w:jc w:val="center"/>
              <w:rPr>
                <w:rFonts w:ascii="Times New Roman" w:hAnsi="Times New Roman" w:cs="Times New Roman"/>
                <w:sz w:val="48"/>
                <w:szCs w:val="48"/>
              </w:rPr>
            </w:pPr>
            <w:r>
              <w:rPr>
                <w:rFonts w:ascii="Times New Roman" w:hAnsi="Times New Roman" w:cs="Times New Roman"/>
                <w:sz w:val="48"/>
                <w:szCs w:val="48"/>
              </w:rPr>
              <w:t>Vin 5</w:t>
            </w:r>
          </w:p>
          <w:p w14:paraId="37B26CAB" w14:textId="1ED11419" w:rsidR="00385C27" w:rsidRDefault="00385C27" w:rsidP="00385D15">
            <w:pPr>
              <w:jc w:val="center"/>
              <w:rPr>
                <w:rFonts w:ascii="Times New Roman" w:hAnsi="Times New Roman" w:cs="Times New Roman"/>
                <w:sz w:val="48"/>
                <w:szCs w:val="48"/>
              </w:rPr>
            </w:pPr>
          </w:p>
        </w:tc>
        <w:tc>
          <w:tcPr>
            <w:tcW w:w="2976" w:type="dxa"/>
          </w:tcPr>
          <w:p w14:paraId="2C8D2FE9" w14:textId="77777777" w:rsidR="00385C27" w:rsidRDefault="00385C27" w:rsidP="00E04965">
            <w:pPr>
              <w:jc w:val="center"/>
              <w:rPr>
                <w:rFonts w:ascii="Times New Roman" w:hAnsi="Times New Roman" w:cs="Times New Roman"/>
                <w:sz w:val="48"/>
                <w:szCs w:val="48"/>
              </w:rPr>
            </w:pPr>
            <w:r>
              <w:rPr>
                <w:rFonts w:ascii="Times New Roman" w:hAnsi="Times New Roman" w:cs="Times New Roman"/>
                <w:sz w:val="48"/>
                <w:szCs w:val="48"/>
              </w:rPr>
              <w:t>2020</w:t>
            </w:r>
          </w:p>
          <w:p w14:paraId="52FF9D02" w14:textId="1A90F5CF" w:rsidR="00385C27" w:rsidRDefault="00385C27" w:rsidP="00E04965">
            <w:pPr>
              <w:jc w:val="center"/>
              <w:rPr>
                <w:rFonts w:ascii="Times New Roman" w:hAnsi="Times New Roman" w:cs="Times New Roman"/>
                <w:sz w:val="48"/>
                <w:szCs w:val="48"/>
              </w:rPr>
            </w:pPr>
            <w:r>
              <w:rPr>
                <w:rFonts w:ascii="Times New Roman" w:hAnsi="Times New Roman" w:cs="Times New Roman"/>
                <w:sz w:val="48"/>
                <w:szCs w:val="48"/>
              </w:rPr>
              <w:t>11,5°</w:t>
            </w:r>
          </w:p>
        </w:tc>
        <w:tc>
          <w:tcPr>
            <w:tcW w:w="3544" w:type="dxa"/>
          </w:tcPr>
          <w:p w14:paraId="33373B1B" w14:textId="0BA69428" w:rsidR="00385C27" w:rsidRPr="00317047" w:rsidRDefault="00055819" w:rsidP="00E04965">
            <w:pPr>
              <w:jc w:val="center"/>
              <w:rPr>
                <w:rFonts w:ascii="Times New Roman" w:hAnsi="Times New Roman" w:cs="Times New Roman"/>
                <w:sz w:val="40"/>
                <w:szCs w:val="40"/>
              </w:rPr>
            </w:pPr>
            <w:r>
              <w:rPr>
                <w:rFonts w:ascii="Times New Roman" w:hAnsi="Times New Roman" w:cs="Times New Roman"/>
                <w:sz w:val="40"/>
                <w:szCs w:val="40"/>
              </w:rPr>
              <w:t>Chinon</w:t>
            </w:r>
          </w:p>
        </w:tc>
        <w:tc>
          <w:tcPr>
            <w:tcW w:w="1985" w:type="dxa"/>
          </w:tcPr>
          <w:p w14:paraId="21DF50D7" w14:textId="77777777" w:rsidR="00385C27" w:rsidRDefault="00385C27" w:rsidP="00E04965">
            <w:pPr>
              <w:jc w:val="center"/>
              <w:rPr>
                <w:rFonts w:ascii="Times New Roman" w:hAnsi="Times New Roman" w:cs="Times New Roman"/>
                <w:sz w:val="48"/>
                <w:szCs w:val="48"/>
              </w:rPr>
            </w:pPr>
          </w:p>
          <w:p w14:paraId="68E34B6E" w14:textId="5D13815D" w:rsidR="00957AE4" w:rsidRDefault="00957AE4" w:rsidP="00E04965">
            <w:pPr>
              <w:jc w:val="center"/>
              <w:rPr>
                <w:rFonts w:ascii="Times New Roman" w:hAnsi="Times New Roman" w:cs="Times New Roman"/>
                <w:sz w:val="48"/>
                <w:szCs w:val="48"/>
              </w:rPr>
            </w:pPr>
            <w:r>
              <w:rPr>
                <w:rFonts w:ascii="Times New Roman" w:hAnsi="Times New Roman" w:cs="Times New Roman"/>
                <w:sz w:val="48"/>
                <w:szCs w:val="48"/>
              </w:rPr>
              <w:t>3,50</w:t>
            </w:r>
          </w:p>
        </w:tc>
        <w:tc>
          <w:tcPr>
            <w:tcW w:w="1984" w:type="dxa"/>
          </w:tcPr>
          <w:p w14:paraId="204C29B4" w14:textId="77777777" w:rsidR="00957AE4" w:rsidRDefault="00957AE4" w:rsidP="00E04965">
            <w:pPr>
              <w:jc w:val="center"/>
              <w:rPr>
                <w:rFonts w:ascii="Times New Roman" w:hAnsi="Times New Roman" w:cs="Times New Roman"/>
                <w:sz w:val="48"/>
                <w:szCs w:val="48"/>
              </w:rPr>
            </w:pPr>
          </w:p>
          <w:p w14:paraId="72D1A5E1" w14:textId="72116492" w:rsidR="00385C27" w:rsidRDefault="00385C27" w:rsidP="00E04965">
            <w:pPr>
              <w:jc w:val="center"/>
              <w:rPr>
                <w:rFonts w:ascii="Times New Roman" w:hAnsi="Times New Roman" w:cs="Times New Roman"/>
                <w:sz w:val="48"/>
                <w:szCs w:val="48"/>
              </w:rPr>
            </w:pPr>
            <w:r>
              <w:rPr>
                <w:rFonts w:ascii="Times New Roman" w:hAnsi="Times New Roman" w:cs="Times New Roman"/>
                <w:sz w:val="48"/>
                <w:szCs w:val="48"/>
              </w:rPr>
              <w:t>6,65</w:t>
            </w:r>
          </w:p>
        </w:tc>
        <w:tc>
          <w:tcPr>
            <w:tcW w:w="1950" w:type="dxa"/>
          </w:tcPr>
          <w:p w14:paraId="550E5C32" w14:textId="77777777" w:rsidR="00385C27" w:rsidRDefault="00385C27" w:rsidP="00D16DC1">
            <w:pPr>
              <w:jc w:val="center"/>
              <w:rPr>
                <w:rFonts w:ascii="Times New Roman" w:hAnsi="Times New Roman" w:cs="Times New Roman"/>
                <w:sz w:val="48"/>
                <w:szCs w:val="48"/>
              </w:rPr>
            </w:pPr>
          </w:p>
          <w:p w14:paraId="6FD5B0A8" w14:textId="22F3D490" w:rsidR="00957AE4" w:rsidRDefault="00957AE4" w:rsidP="00D16DC1">
            <w:pPr>
              <w:jc w:val="center"/>
              <w:rPr>
                <w:rFonts w:ascii="Times New Roman" w:hAnsi="Times New Roman" w:cs="Times New Roman"/>
                <w:sz w:val="48"/>
                <w:szCs w:val="48"/>
              </w:rPr>
            </w:pPr>
            <w:r>
              <w:rPr>
                <w:rFonts w:ascii="Times New Roman" w:hAnsi="Times New Roman" w:cs="Times New Roman"/>
                <w:sz w:val="48"/>
                <w:szCs w:val="48"/>
              </w:rPr>
              <w:t>5</w:t>
            </w:r>
          </w:p>
        </w:tc>
      </w:tr>
    </w:tbl>
    <w:p w14:paraId="349CD810" w14:textId="4E5778DB" w:rsidR="000F5C0B" w:rsidRDefault="000F5C0B" w:rsidP="00FD3986"/>
    <w:sectPr w:rsidR="000F5C0B" w:rsidSect="006814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7EB"/>
    <w:multiLevelType w:val="hybridMultilevel"/>
    <w:tmpl w:val="F6DC00DE"/>
    <w:lvl w:ilvl="0" w:tplc="E148296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9C724B"/>
    <w:multiLevelType w:val="hybridMultilevel"/>
    <w:tmpl w:val="1C60E096"/>
    <w:lvl w:ilvl="0" w:tplc="A170C80C">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8B26BDE"/>
    <w:multiLevelType w:val="hybridMultilevel"/>
    <w:tmpl w:val="9B4AFF1E"/>
    <w:lvl w:ilvl="0" w:tplc="488EC52C">
      <w:numFmt w:val="bullet"/>
      <w:lvlText w:val="-"/>
      <w:lvlJc w:val="left"/>
      <w:pPr>
        <w:ind w:left="927" w:hanging="360"/>
      </w:pPr>
      <w:rPr>
        <w:rFonts w:ascii="Comic Sans MS" w:eastAsia="Times New Roman" w:hAnsi="Comic Sans MS" w:cs="Aria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3" w15:restartNumberingAfterBreak="0">
    <w:nsid w:val="4585308C"/>
    <w:multiLevelType w:val="hybridMultilevel"/>
    <w:tmpl w:val="018A57AE"/>
    <w:lvl w:ilvl="0" w:tplc="878EBE3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7BC767CD"/>
    <w:multiLevelType w:val="hybridMultilevel"/>
    <w:tmpl w:val="62827C8C"/>
    <w:lvl w:ilvl="0" w:tplc="E098B190">
      <w:numFmt w:val="bullet"/>
      <w:lvlText w:val="-"/>
      <w:lvlJc w:val="left"/>
      <w:pPr>
        <w:ind w:left="720" w:hanging="360"/>
      </w:pPr>
      <w:rPr>
        <w:rFonts w:ascii="Comic Sans MS" w:eastAsia="Times New Roman" w:hAnsi="Comic Sans MS"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479030283">
    <w:abstractNumId w:val="1"/>
  </w:num>
  <w:num w:numId="2" w16cid:durableId="1605381378">
    <w:abstractNumId w:val="0"/>
  </w:num>
  <w:num w:numId="3" w16cid:durableId="215969173">
    <w:abstractNumId w:val="3"/>
  </w:num>
  <w:num w:numId="4" w16cid:durableId="508564929">
    <w:abstractNumId w:val="4"/>
  </w:num>
  <w:num w:numId="5" w16cid:durableId="1213886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06"/>
    <w:rsid w:val="00000A23"/>
    <w:rsid w:val="00004690"/>
    <w:rsid w:val="00055819"/>
    <w:rsid w:val="00063EC0"/>
    <w:rsid w:val="00077F6F"/>
    <w:rsid w:val="000A691E"/>
    <w:rsid w:val="000E65AB"/>
    <w:rsid w:val="000F4DE7"/>
    <w:rsid w:val="000F5C0B"/>
    <w:rsid w:val="00100DB7"/>
    <w:rsid w:val="00105B9A"/>
    <w:rsid w:val="001418B8"/>
    <w:rsid w:val="00146AFA"/>
    <w:rsid w:val="00152BCF"/>
    <w:rsid w:val="001760DA"/>
    <w:rsid w:val="001D0630"/>
    <w:rsid w:val="00204B6F"/>
    <w:rsid w:val="00207AAC"/>
    <w:rsid w:val="00262A65"/>
    <w:rsid w:val="00290249"/>
    <w:rsid w:val="00317047"/>
    <w:rsid w:val="003804D8"/>
    <w:rsid w:val="00385C27"/>
    <w:rsid w:val="00385D15"/>
    <w:rsid w:val="003D51F5"/>
    <w:rsid w:val="003F14A8"/>
    <w:rsid w:val="003F6063"/>
    <w:rsid w:val="00413B0F"/>
    <w:rsid w:val="00416DBC"/>
    <w:rsid w:val="00425D90"/>
    <w:rsid w:val="0043496C"/>
    <w:rsid w:val="004360D0"/>
    <w:rsid w:val="004858BF"/>
    <w:rsid w:val="004A55BA"/>
    <w:rsid w:val="0052216F"/>
    <w:rsid w:val="00561D39"/>
    <w:rsid w:val="00563FD6"/>
    <w:rsid w:val="00567FAF"/>
    <w:rsid w:val="005743D1"/>
    <w:rsid w:val="005D588C"/>
    <w:rsid w:val="005F2E75"/>
    <w:rsid w:val="006075A4"/>
    <w:rsid w:val="00612874"/>
    <w:rsid w:val="00674124"/>
    <w:rsid w:val="006814E4"/>
    <w:rsid w:val="006D79FE"/>
    <w:rsid w:val="006F64E6"/>
    <w:rsid w:val="0072774E"/>
    <w:rsid w:val="00750E2C"/>
    <w:rsid w:val="00782957"/>
    <w:rsid w:val="007C14FB"/>
    <w:rsid w:val="00811F06"/>
    <w:rsid w:val="00852E73"/>
    <w:rsid w:val="0085652D"/>
    <w:rsid w:val="008627F0"/>
    <w:rsid w:val="008B4467"/>
    <w:rsid w:val="008E22A6"/>
    <w:rsid w:val="008F3A90"/>
    <w:rsid w:val="0090323D"/>
    <w:rsid w:val="009205E5"/>
    <w:rsid w:val="009379D7"/>
    <w:rsid w:val="00957AE4"/>
    <w:rsid w:val="009845CE"/>
    <w:rsid w:val="009A2C53"/>
    <w:rsid w:val="009C72CE"/>
    <w:rsid w:val="00A058FA"/>
    <w:rsid w:val="00A422C7"/>
    <w:rsid w:val="00A60176"/>
    <w:rsid w:val="00A67402"/>
    <w:rsid w:val="00A7082A"/>
    <w:rsid w:val="00A71AB4"/>
    <w:rsid w:val="00A96AAD"/>
    <w:rsid w:val="00AB1692"/>
    <w:rsid w:val="00B07EF5"/>
    <w:rsid w:val="00B16CBB"/>
    <w:rsid w:val="00B40452"/>
    <w:rsid w:val="00B74D26"/>
    <w:rsid w:val="00BA60DC"/>
    <w:rsid w:val="00BC6BE0"/>
    <w:rsid w:val="00BD0F71"/>
    <w:rsid w:val="00BD41D3"/>
    <w:rsid w:val="00BF079D"/>
    <w:rsid w:val="00C66EAE"/>
    <w:rsid w:val="00C932D8"/>
    <w:rsid w:val="00C96545"/>
    <w:rsid w:val="00CB2161"/>
    <w:rsid w:val="00CE30C8"/>
    <w:rsid w:val="00D04CA7"/>
    <w:rsid w:val="00D16DC1"/>
    <w:rsid w:val="00D7435D"/>
    <w:rsid w:val="00D809E6"/>
    <w:rsid w:val="00D809F9"/>
    <w:rsid w:val="00D94A2F"/>
    <w:rsid w:val="00DA331A"/>
    <w:rsid w:val="00DB7F6C"/>
    <w:rsid w:val="00E04965"/>
    <w:rsid w:val="00EB051B"/>
    <w:rsid w:val="00F37EE8"/>
    <w:rsid w:val="00FB1AAC"/>
    <w:rsid w:val="00FB23FD"/>
    <w:rsid w:val="00FD3986"/>
    <w:rsid w:val="00FF5727"/>
    <w:rsid w:val="00FF6D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63A2"/>
  <w15:chartTrackingRefBased/>
  <w15:docId w15:val="{696EEC32-55A8-4440-9FDC-C25809F7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6814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unhideWhenUsed/>
    <w:qFormat/>
    <w:rsid w:val="006814E4"/>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11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60D0"/>
    <w:pPr>
      <w:ind w:left="720"/>
    </w:pPr>
  </w:style>
  <w:style w:type="character" w:styleId="Lienhypertexte">
    <w:name w:val="Hyperlink"/>
    <w:basedOn w:val="Policepardfaut"/>
    <w:uiPriority w:val="99"/>
    <w:semiHidden/>
    <w:unhideWhenUsed/>
    <w:rsid w:val="00D7435D"/>
    <w:rPr>
      <w:color w:val="0000FF"/>
      <w:u w:val="single"/>
    </w:rPr>
  </w:style>
  <w:style w:type="character" w:styleId="lev">
    <w:name w:val="Strong"/>
    <w:basedOn w:val="Policepardfaut"/>
    <w:uiPriority w:val="22"/>
    <w:qFormat/>
    <w:rsid w:val="008F3A90"/>
    <w:rPr>
      <w:b/>
      <w:bCs/>
    </w:rPr>
  </w:style>
  <w:style w:type="paragraph" w:customStyle="1" w:styleId="p1">
    <w:name w:val="p1"/>
    <w:basedOn w:val="Normal"/>
    <w:rsid w:val="008F3A90"/>
    <w:pPr>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F3A90"/>
    <w:rPr>
      <w:i/>
      <w:iCs/>
    </w:rPr>
  </w:style>
  <w:style w:type="paragraph" w:styleId="NormalWeb">
    <w:name w:val="Normal (Web)"/>
    <w:basedOn w:val="Normal"/>
    <w:uiPriority w:val="99"/>
    <w:semiHidden/>
    <w:unhideWhenUsed/>
    <w:rsid w:val="008F3A90"/>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6814E4"/>
    <w:rPr>
      <w:rFonts w:asciiTheme="majorHAnsi" w:eastAsiaTheme="majorEastAsia" w:hAnsiTheme="majorHAnsi" w:cstheme="majorBidi"/>
      <w:color w:val="1F3763" w:themeColor="accent1" w:themeShade="7F"/>
      <w:sz w:val="24"/>
      <w:szCs w:val="24"/>
    </w:rPr>
  </w:style>
  <w:style w:type="character" w:customStyle="1" w:styleId="Titre5Car">
    <w:name w:val="Titre 5 Car"/>
    <w:basedOn w:val="Policepardfaut"/>
    <w:link w:val="Titre5"/>
    <w:uiPriority w:val="9"/>
    <w:rsid w:val="006814E4"/>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69341">
      <w:bodyDiv w:val="1"/>
      <w:marLeft w:val="0"/>
      <w:marRight w:val="0"/>
      <w:marTop w:val="0"/>
      <w:marBottom w:val="0"/>
      <w:divBdr>
        <w:top w:val="none" w:sz="0" w:space="0" w:color="auto"/>
        <w:left w:val="none" w:sz="0" w:space="0" w:color="auto"/>
        <w:bottom w:val="none" w:sz="0" w:space="0" w:color="auto"/>
        <w:right w:val="none" w:sz="0" w:space="0" w:color="auto"/>
      </w:divBdr>
    </w:div>
    <w:div w:id="738483322">
      <w:bodyDiv w:val="1"/>
      <w:marLeft w:val="0"/>
      <w:marRight w:val="0"/>
      <w:marTop w:val="0"/>
      <w:marBottom w:val="0"/>
      <w:divBdr>
        <w:top w:val="none" w:sz="0" w:space="0" w:color="auto"/>
        <w:left w:val="none" w:sz="0" w:space="0" w:color="auto"/>
        <w:bottom w:val="none" w:sz="0" w:space="0" w:color="auto"/>
        <w:right w:val="none" w:sz="0" w:space="0" w:color="auto"/>
      </w:divBdr>
    </w:div>
    <w:div w:id="792090931">
      <w:bodyDiv w:val="1"/>
      <w:marLeft w:val="0"/>
      <w:marRight w:val="0"/>
      <w:marTop w:val="0"/>
      <w:marBottom w:val="0"/>
      <w:divBdr>
        <w:top w:val="none" w:sz="0" w:space="0" w:color="auto"/>
        <w:left w:val="none" w:sz="0" w:space="0" w:color="auto"/>
        <w:bottom w:val="none" w:sz="0" w:space="0" w:color="auto"/>
        <w:right w:val="none" w:sz="0" w:space="0" w:color="auto"/>
      </w:divBdr>
    </w:div>
    <w:div w:id="1674381342">
      <w:bodyDiv w:val="1"/>
      <w:marLeft w:val="0"/>
      <w:marRight w:val="0"/>
      <w:marTop w:val="0"/>
      <w:marBottom w:val="0"/>
      <w:divBdr>
        <w:top w:val="none" w:sz="0" w:space="0" w:color="auto"/>
        <w:left w:val="none" w:sz="0" w:space="0" w:color="auto"/>
        <w:bottom w:val="none" w:sz="0" w:space="0" w:color="auto"/>
        <w:right w:val="none" w:sz="0" w:space="0" w:color="auto"/>
      </w:divBdr>
    </w:div>
    <w:div w:id="1819110905">
      <w:bodyDiv w:val="1"/>
      <w:marLeft w:val="0"/>
      <w:marRight w:val="0"/>
      <w:marTop w:val="0"/>
      <w:marBottom w:val="0"/>
      <w:divBdr>
        <w:top w:val="none" w:sz="0" w:space="0" w:color="auto"/>
        <w:left w:val="none" w:sz="0" w:space="0" w:color="auto"/>
        <w:bottom w:val="none" w:sz="0" w:space="0" w:color="auto"/>
        <w:right w:val="none" w:sz="0" w:space="0" w:color="auto"/>
      </w:divBdr>
    </w:div>
    <w:div w:id="202081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is-vin.lefigaro.fr/connaitre-deguster/tout-savoir-sur-le-vin/guide-des-regions-et-des-appellations/provence/appellation-palette" TargetMode="External"/><Relationship Id="rId13" Type="http://schemas.openxmlformats.org/officeDocument/2006/relationships/hyperlink" Target="https://www.vinatis.com/achat-vin-blanc"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hyperlink" Target="https://avis-vin.lefigaro.fr/connaitre-deguster/tout-savoir-sur-le-vin/guide-des-regions-et-des-appellations/provence/appellation-cotes-de-provence" TargetMode="External"/><Relationship Id="rId12" Type="http://schemas.openxmlformats.org/officeDocument/2006/relationships/hyperlink" Target="https://www.vinatis.com/achat-vin-rose"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millesima.fr/grenache.html"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vinatis.com/achat-vin-rouge" TargetMode="External"/><Relationship Id="rId5" Type="http://schemas.openxmlformats.org/officeDocument/2006/relationships/webSettings" Target="webSettings.xml"/><Relationship Id="rId15" Type="http://schemas.openxmlformats.org/officeDocument/2006/relationships/hyperlink" Target="https://www.millesima.fr/producteur-minuty.html" TargetMode="External"/><Relationship Id="rId23" Type="http://schemas.openxmlformats.org/officeDocument/2006/relationships/theme" Target="theme/theme1.xml"/><Relationship Id="rId10" Type="http://schemas.openxmlformats.org/officeDocument/2006/relationships/hyperlink" Target="https://www.vinatis.com/achat-vin-var"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avis-vin.lefigaro.fr/connaitre-deguster/tout-savoir-sur-le-vin/guide-des-regions-et-des-appellations/provence/appellation-coteaux-varois-en-provence" TargetMode="External"/><Relationship Id="rId14" Type="http://schemas.openxmlformats.org/officeDocument/2006/relationships/hyperlink" Target="https://www.vinatis.com/achat-vin"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7C8EC-2A6E-4BEF-AB74-A372CF3B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Pages>
  <Words>1146</Words>
  <Characters>6304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Bougrier</dc:creator>
  <cp:keywords/>
  <dc:description/>
  <cp:lastModifiedBy>Max Bougrier</cp:lastModifiedBy>
  <cp:revision>78</cp:revision>
  <cp:lastPrinted>2022-06-16T09:57:00Z</cp:lastPrinted>
  <dcterms:created xsi:type="dcterms:W3CDTF">2021-12-12T17:04:00Z</dcterms:created>
  <dcterms:modified xsi:type="dcterms:W3CDTF">2022-07-22T09:24:00Z</dcterms:modified>
</cp:coreProperties>
</file>